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F6B" w:rsidRPr="00812EED" w:rsidRDefault="00B22E7A">
      <w:pPr>
        <w:pBdr>
          <w:bottom w:val="single" w:sz="12" w:space="1" w:color="000000"/>
        </w:pBdr>
        <w:jc w:val="center"/>
        <w:rPr>
          <w:b/>
        </w:rPr>
      </w:pPr>
      <w:r>
        <w:rPr>
          <w:b/>
        </w:rPr>
        <w:t xml:space="preserve"> </w:t>
      </w:r>
      <w:r w:rsidRPr="00812EED">
        <w:rPr>
          <w:noProof/>
        </w:rPr>
        <w:drawing>
          <wp:anchor distT="0" distB="0" distL="114300" distR="114300" simplePos="0" relativeHeight="251658240" behindDoc="0" locked="0" layoutInCell="1" hidden="0" allowOverlap="1">
            <wp:simplePos x="0" y="0"/>
            <wp:positionH relativeFrom="column">
              <wp:posOffset>200025</wp:posOffset>
            </wp:positionH>
            <wp:positionV relativeFrom="paragraph">
              <wp:posOffset>-219074</wp:posOffset>
            </wp:positionV>
            <wp:extent cx="6010275" cy="9144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010275" cy="914400"/>
                    </a:xfrm>
                    <a:prstGeom prst="rect">
                      <a:avLst/>
                    </a:prstGeom>
                    <a:ln/>
                  </pic:spPr>
                </pic:pic>
              </a:graphicData>
            </a:graphic>
          </wp:anchor>
        </w:drawing>
      </w:r>
    </w:p>
    <w:p w:rsidR="00A13F6B" w:rsidRPr="00812EED" w:rsidRDefault="00B22E7A">
      <w:pPr>
        <w:pBdr>
          <w:bottom w:val="single" w:sz="12" w:space="1" w:color="000000"/>
        </w:pBdr>
        <w:jc w:val="center"/>
        <w:rPr>
          <w:b/>
        </w:rPr>
      </w:pPr>
      <w:r w:rsidRPr="00812EED">
        <w:rPr>
          <w:b/>
        </w:rPr>
        <w:t>Master Syllabus</w:t>
      </w:r>
    </w:p>
    <w:p w:rsidR="00A13F6B" w:rsidRPr="00812EED" w:rsidRDefault="00B22E7A">
      <w:r w:rsidRPr="00812EED">
        <w:rPr>
          <w:b/>
        </w:rPr>
        <w:t xml:space="preserve">Catalogue Description: </w:t>
      </w:r>
      <w:r w:rsidRPr="00812EED">
        <w:t>This course focuses on a wide range of organizational and professional issues social workers encounter as clinicians, service providers, and administrators in diverse clinical settings, with emphasis on culturally responsive social work practice.</w:t>
      </w:r>
    </w:p>
    <w:p w:rsidR="00A13F6B" w:rsidRPr="00812EED" w:rsidRDefault="00A13F6B">
      <w:pPr>
        <w:rPr>
          <w:b/>
        </w:rPr>
      </w:pPr>
    </w:p>
    <w:p w:rsidR="00A13F6B" w:rsidRPr="00812EED" w:rsidRDefault="00B22E7A">
      <w:pPr>
        <w:rPr>
          <w:b/>
        </w:rPr>
      </w:pPr>
      <w:r w:rsidRPr="00812EED">
        <w:rPr>
          <w:b/>
        </w:rPr>
        <w:t>Course Information</w:t>
      </w:r>
    </w:p>
    <w:p w:rsidR="00A13F6B" w:rsidRPr="00812EED" w:rsidRDefault="00B22E7A">
      <w:r w:rsidRPr="00812EED">
        <w:rPr>
          <w:i/>
        </w:rPr>
        <w:t>Course Number/Section</w:t>
      </w:r>
      <w:r w:rsidRPr="00812EED">
        <w:tab/>
        <w:t>SOWK/SWK 644-01</w:t>
      </w:r>
    </w:p>
    <w:p w:rsidR="00A13F6B" w:rsidRPr="00812EED" w:rsidRDefault="00B22E7A">
      <w:r w:rsidRPr="00812EED">
        <w:rPr>
          <w:i/>
        </w:rPr>
        <w:t>Course Title</w:t>
      </w:r>
      <w:r w:rsidRPr="00812EED">
        <w:rPr>
          <w:i/>
        </w:rPr>
        <w:tab/>
      </w:r>
      <w:r w:rsidRPr="00812EED">
        <w:rPr>
          <w:i/>
        </w:rPr>
        <w:tab/>
      </w:r>
      <w:r w:rsidRPr="00812EED">
        <w:tab/>
        <w:t xml:space="preserve">Organizational Context of Clinical Social Work Practice </w:t>
      </w:r>
    </w:p>
    <w:p w:rsidR="00A13F6B" w:rsidRPr="00812EED" w:rsidRDefault="00B22E7A">
      <w:r w:rsidRPr="00812EED">
        <w:rPr>
          <w:i/>
        </w:rPr>
        <w:t>Credit Hours</w:t>
      </w:r>
      <w:r w:rsidRPr="00812EED">
        <w:tab/>
      </w:r>
      <w:r w:rsidRPr="00812EED">
        <w:tab/>
      </w:r>
      <w:r w:rsidRPr="00812EED">
        <w:tab/>
        <w:t>3</w:t>
      </w:r>
    </w:p>
    <w:p w:rsidR="00A13F6B" w:rsidRPr="00812EED" w:rsidRDefault="00B22E7A">
      <w:r w:rsidRPr="00812EED">
        <w:rPr>
          <w:i/>
        </w:rPr>
        <w:t>Term</w:t>
      </w:r>
      <w:r w:rsidRPr="00812EED">
        <w:rPr>
          <w:i/>
        </w:rPr>
        <w:tab/>
      </w:r>
      <w:r w:rsidRPr="00812EED">
        <w:rPr>
          <w:i/>
        </w:rPr>
        <w:tab/>
      </w:r>
      <w:r w:rsidRPr="00812EED">
        <w:rPr>
          <w:i/>
        </w:rPr>
        <w:tab/>
      </w:r>
      <w:r w:rsidRPr="00812EED">
        <w:tab/>
        <w:t>Spring 2021</w:t>
      </w:r>
    </w:p>
    <w:p w:rsidR="00A13F6B" w:rsidRPr="00812EED" w:rsidRDefault="00B22E7A">
      <w:r w:rsidRPr="00812EED">
        <w:rPr>
          <w:i/>
        </w:rPr>
        <w:t>Days &amp; Times</w:t>
      </w:r>
      <w:r w:rsidRPr="00812EED">
        <w:rPr>
          <w:i/>
        </w:rPr>
        <w:tab/>
      </w:r>
      <w:r w:rsidRPr="00812EED">
        <w:rPr>
          <w:i/>
        </w:rPr>
        <w:tab/>
      </w:r>
      <w:r w:rsidRPr="00812EED">
        <w:rPr>
          <w:i/>
        </w:rPr>
        <w:tab/>
      </w:r>
      <w:r w:rsidR="00812EED" w:rsidRPr="00812EED">
        <w:t xml:space="preserve">Tuesdays, 1-3pm </w:t>
      </w:r>
    </w:p>
    <w:p w:rsidR="00A13F6B" w:rsidRPr="00812EED" w:rsidRDefault="00B22E7A">
      <w:r w:rsidRPr="00812EED">
        <w:rPr>
          <w:i/>
        </w:rPr>
        <w:t>Class Location</w:t>
      </w:r>
      <w:r w:rsidRPr="00812EED">
        <w:rPr>
          <w:i/>
        </w:rPr>
        <w:tab/>
      </w:r>
      <w:r w:rsidRPr="00812EED">
        <w:rPr>
          <w:i/>
        </w:rPr>
        <w:tab/>
      </w:r>
      <w:r w:rsidR="00812EED" w:rsidRPr="00812EED">
        <w:t>Zoom</w:t>
      </w:r>
    </w:p>
    <w:p w:rsidR="00A13F6B" w:rsidRPr="00812EED" w:rsidRDefault="00B22E7A">
      <w:r w:rsidRPr="00812EED">
        <w:tab/>
      </w:r>
      <w:r w:rsidRPr="00812EED">
        <w:tab/>
      </w:r>
      <w:r w:rsidRPr="00812EED">
        <w:tab/>
      </w:r>
      <w:r w:rsidRPr="00812EED">
        <w:tab/>
      </w:r>
    </w:p>
    <w:p w:rsidR="00A13F6B" w:rsidRPr="00812EED" w:rsidRDefault="00A13F6B"/>
    <w:p w:rsidR="00A13F6B" w:rsidRPr="00812EED" w:rsidRDefault="00B22E7A">
      <w:pPr>
        <w:rPr>
          <w:b/>
        </w:rPr>
      </w:pPr>
      <w:r w:rsidRPr="00812EED">
        <w:rPr>
          <w:b/>
        </w:rPr>
        <w:t>Professor Contact Information</w:t>
      </w:r>
    </w:p>
    <w:p w:rsidR="00A13F6B" w:rsidRPr="00812EED" w:rsidRDefault="00B22E7A">
      <w:r w:rsidRPr="00812EED">
        <w:rPr>
          <w:i/>
        </w:rPr>
        <w:t>Professor</w:t>
      </w:r>
      <w:r w:rsidRPr="00812EED">
        <w:tab/>
      </w:r>
      <w:r w:rsidRPr="00812EED">
        <w:tab/>
      </w:r>
      <w:r w:rsidRPr="00812EED">
        <w:tab/>
        <w:t>Mathieu Despard, PhD, MSW</w:t>
      </w:r>
    </w:p>
    <w:p w:rsidR="00A13F6B" w:rsidRPr="00812EED" w:rsidRDefault="00B22E7A">
      <w:r w:rsidRPr="00812EED">
        <w:rPr>
          <w:i/>
        </w:rPr>
        <w:t>Email Address</w:t>
      </w:r>
      <w:r w:rsidRPr="00812EED">
        <w:tab/>
      </w:r>
      <w:r w:rsidRPr="00812EED">
        <w:tab/>
      </w:r>
      <w:r w:rsidRPr="00812EED">
        <w:tab/>
      </w:r>
      <w:hyperlink r:id="rId8">
        <w:r w:rsidRPr="00812EED">
          <w:rPr>
            <w:color w:val="0000FF"/>
            <w:u w:val="single"/>
          </w:rPr>
          <w:t>mdespard@uncg.edu</w:t>
        </w:r>
      </w:hyperlink>
      <w:r w:rsidRPr="00812EED">
        <w:t xml:space="preserve"> </w:t>
      </w:r>
    </w:p>
    <w:p w:rsidR="00A13F6B" w:rsidRPr="00812EED" w:rsidRDefault="00B22E7A">
      <w:r w:rsidRPr="00812EED">
        <w:rPr>
          <w:i/>
        </w:rPr>
        <w:t>URL</w:t>
      </w:r>
      <w:r w:rsidRPr="00812EED">
        <w:rPr>
          <w:i/>
        </w:rPr>
        <w:tab/>
      </w:r>
      <w:r w:rsidRPr="00812EED">
        <w:tab/>
      </w:r>
      <w:r w:rsidRPr="00812EED">
        <w:tab/>
      </w:r>
      <w:r w:rsidRPr="00812EED">
        <w:tab/>
      </w:r>
      <w:hyperlink r:id="rId9">
        <w:r w:rsidRPr="00812EED">
          <w:rPr>
            <w:color w:val="0000FF"/>
            <w:u w:val="single"/>
          </w:rPr>
          <w:t>https://matdespard.wp.uncg.edu/</w:t>
        </w:r>
      </w:hyperlink>
    </w:p>
    <w:p w:rsidR="00A13F6B" w:rsidRPr="00812EED" w:rsidRDefault="00B22E7A">
      <w:r w:rsidRPr="00812EED">
        <w:rPr>
          <w:i/>
        </w:rPr>
        <w:t>Office Location</w:t>
      </w:r>
      <w:r w:rsidRPr="00812EED">
        <w:tab/>
      </w:r>
      <w:r w:rsidRPr="00812EED">
        <w:tab/>
        <w:t>Stone 173</w:t>
      </w:r>
    </w:p>
    <w:p w:rsidR="00A13F6B" w:rsidRPr="00812EED" w:rsidRDefault="00B22E7A">
      <w:r w:rsidRPr="00812EED">
        <w:rPr>
          <w:i/>
        </w:rPr>
        <w:t>Office Hours</w:t>
      </w:r>
      <w:r w:rsidRPr="00812EED">
        <w:rPr>
          <w:i/>
        </w:rPr>
        <w:tab/>
      </w:r>
      <w:r w:rsidRPr="00812EED">
        <w:tab/>
      </w:r>
      <w:r w:rsidRPr="00812EED">
        <w:tab/>
        <w:t>By appointment</w:t>
      </w:r>
    </w:p>
    <w:p w:rsidR="00A13F6B" w:rsidRPr="00812EED" w:rsidRDefault="00A13F6B"/>
    <w:p w:rsidR="00A13F6B" w:rsidRPr="00812EED" w:rsidRDefault="00B22E7A">
      <w:pPr>
        <w:rPr>
          <w:b/>
        </w:rPr>
      </w:pPr>
      <w:r w:rsidRPr="00812EED">
        <w:rPr>
          <w:b/>
        </w:rPr>
        <w:t>Course Description and Linkage to Other Courses</w:t>
      </w:r>
    </w:p>
    <w:p w:rsidR="00A13F6B" w:rsidRPr="00812EED" w:rsidRDefault="00B22E7A">
      <w:pPr>
        <w:ind w:firstLine="720"/>
      </w:pPr>
      <w:r w:rsidRPr="00812EED">
        <w:t>This course will prepare students to work in health and human service organizations and systems and other social work practice settings to improve programs and services and promote multicultural practice and social justice. A key goal is to help students understand how organizations and systems function so they can effectively advocate for clients and for themselves and grow professionally.</w:t>
      </w:r>
    </w:p>
    <w:p w:rsidR="00A13F6B" w:rsidRPr="00812EED" w:rsidRDefault="00A13F6B">
      <w:pPr>
        <w:ind w:firstLine="720"/>
      </w:pPr>
    </w:p>
    <w:p w:rsidR="00A13F6B" w:rsidRPr="00812EED" w:rsidRDefault="00B22E7A">
      <w:pPr>
        <w:ind w:firstLine="720"/>
      </w:pPr>
      <w:r w:rsidRPr="00812EED">
        <w:t>This course builds upon the skills and knowledge base from other generalist and specialist courses by adding three key perspectives to help students expand their ability to promote change beyond the individual and family level:</w:t>
      </w:r>
    </w:p>
    <w:p w:rsidR="00A13F6B" w:rsidRPr="00812EED" w:rsidRDefault="00A13F6B">
      <w:pPr>
        <w:ind w:firstLine="720"/>
      </w:pPr>
    </w:p>
    <w:p w:rsidR="00A13F6B" w:rsidRPr="00812EED" w:rsidRDefault="00B22E7A" w:rsidP="00812EED">
      <w:pPr>
        <w:numPr>
          <w:ilvl w:val="0"/>
          <w:numId w:val="19"/>
        </w:numPr>
        <w:pBdr>
          <w:top w:val="nil"/>
          <w:left w:val="nil"/>
          <w:bottom w:val="nil"/>
          <w:right w:val="nil"/>
          <w:between w:val="nil"/>
        </w:pBdr>
        <w:rPr>
          <w:color w:val="000000"/>
        </w:rPr>
      </w:pPr>
      <w:r w:rsidRPr="00812EED">
        <w:rPr>
          <w:color w:val="000000"/>
        </w:rPr>
        <w:t>Implementation science: The effectiveness of clinical social work practice is affected by the organizations in which they are nested.</w:t>
      </w:r>
    </w:p>
    <w:p w:rsidR="00A13F6B" w:rsidRPr="00812EED" w:rsidRDefault="00A13F6B" w:rsidP="00812EED">
      <w:pPr>
        <w:pBdr>
          <w:top w:val="nil"/>
          <w:left w:val="nil"/>
          <w:bottom w:val="nil"/>
          <w:right w:val="nil"/>
          <w:between w:val="nil"/>
        </w:pBdr>
        <w:ind w:left="1080"/>
        <w:rPr>
          <w:color w:val="000000"/>
        </w:rPr>
      </w:pPr>
    </w:p>
    <w:p w:rsidR="00A13F6B" w:rsidRPr="00812EED" w:rsidRDefault="00B22E7A" w:rsidP="00812EED">
      <w:pPr>
        <w:numPr>
          <w:ilvl w:val="0"/>
          <w:numId w:val="19"/>
        </w:numPr>
        <w:pBdr>
          <w:top w:val="nil"/>
          <w:left w:val="nil"/>
          <w:bottom w:val="nil"/>
          <w:right w:val="nil"/>
          <w:between w:val="nil"/>
        </w:pBdr>
        <w:rPr>
          <w:color w:val="000000"/>
        </w:rPr>
      </w:pPr>
      <w:r w:rsidRPr="00812EED">
        <w:rPr>
          <w:color w:val="000000"/>
        </w:rPr>
        <w:t xml:space="preserve">Organizational development: There is always room for organizations to improve in numerous respects to better fulfill their missions, particularly in strengthening commitments to multicultural practice and anti-oppression. </w:t>
      </w:r>
    </w:p>
    <w:p w:rsidR="00A13F6B" w:rsidRPr="00812EED" w:rsidRDefault="00A13F6B" w:rsidP="00812EED"/>
    <w:p w:rsidR="00A13F6B" w:rsidRPr="00812EED" w:rsidRDefault="00B22E7A" w:rsidP="00812EED">
      <w:pPr>
        <w:numPr>
          <w:ilvl w:val="0"/>
          <w:numId w:val="19"/>
        </w:numPr>
        <w:pBdr>
          <w:top w:val="nil"/>
          <w:left w:val="nil"/>
          <w:bottom w:val="nil"/>
          <w:right w:val="nil"/>
          <w:between w:val="nil"/>
        </w:pBdr>
        <w:rPr>
          <w:color w:val="000000"/>
        </w:rPr>
      </w:pPr>
      <w:r w:rsidRPr="00812EED">
        <w:rPr>
          <w:color w:val="000000"/>
        </w:rPr>
        <w:lastRenderedPageBreak/>
        <w:t>Systems change:</w:t>
      </w:r>
      <w:r w:rsidR="00812EED">
        <w:rPr>
          <w:color w:val="000000"/>
        </w:rPr>
        <w:t xml:space="preserve"> </w:t>
      </w:r>
      <w:r w:rsidRPr="00812EED">
        <w:rPr>
          <w:color w:val="000000"/>
        </w:rPr>
        <w:t xml:space="preserve">Helping systems should evolve to ensure they are accessible and responsive to the needs and preferences of the individuals, families, and communities they are intended to serve. </w:t>
      </w:r>
    </w:p>
    <w:p w:rsidR="00A13F6B" w:rsidRPr="00812EED" w:rsidRDefault="00A13F6B">
      <w:pPr>
        <w:ind w:firstLine="720"/>
      </w:pPr>
    </w:p>
    <w:p w:rsidR="00A13F6B" w:rsidRPr="00812EED" w:rsidRDefault="00B22E7A">
      <w:pPr>
        <w:ind w:firstLine="720"/>
      </w:pPr>
      <w:r w:rsidRPr="00812EED">
        <w:t xml:space="preserve">Students will understand the basic "nuts and bolts" of organizations – things like administrative supervision and human resources, legal issues, budgets, revenue sources, and boards of directors. The idea is to give students the basic organizational lexicon they need to work effectively with supervisors, managers, and executives or as a starting point for their own supervisory or managerial practice. </w:t>
      </w:r>
    </w:p>
    <w:p w:rsidR="00A13F6B" w:rsidRPr="00812EED" w:rsidRDefault="00A13F6B">
      <w:pPr>
        <w:ind w:firstLine="720"/>
      </w:pPr>
    </w:p>
    <w:p w:rsidR="00A13F6B" w:rsidRPr="00812EED" w:rsidRDefault="00B22E7A">
      <w:pPr>
        <w:ind w:firstLine="720"/>
        <w:rPr>
          <w:b/>
        </w:rPr>
      </w:pPr>
      <w:r w:rsidRPr="00812EED">
        <w:t xml:space="preserve">Students will develop knowledge and skills in areas such as conflict management, organizational development and change, program planning, evidence-informed practice, implementation science, use of self in administrative supervision, social justice advocacy on behalf of agency clients, and legal protection and risk management relevant to client and organizational concerns. Furthermore, the course examines how effective use of power and cultural competence are needed for organization/agency effectiveness and quality of service. </w:t>
      </w:r>
    </w:p>
    <w:p w:rsidR="00A13F6B" w:rsidRPr="00812EED" w:rsidRDefault="00A13F6B"/>
    <w:p w:rsidR="00A13F6B" w:rsidRPr="00812EED" w:rsidRDefault="00B22E7A">
      <w:pPr>
        <w:ind w:firstLine="720"/>
      </w:pPr>
      <w:r w:rsidRPr="00812EED">
        <w:t xml:space="preserve">This course is taken during the last semester of the JMSW Program.  At the same time, students are taking </w:t>
      </w:r>
      <w:r w:rsidRPr="00812EED">
        <w:rPr>
          <w:i/>
        </w:rPr>
        <w:t>SOWK/SWK653, Advanced Clinical Social Work Practice II</w:t>
      </w:r>
      <w:r w:rsidRPr="00812EED">
        <w:t xml:space="preserve">, </w:t>
      </w:r>
      <w:r w:rsidRPr="00812EED">
        <w:rPr>
          <w:i/>
        </w:rPr>
        <w:t>Field Instruction IV (SOWK787/SWK647</w:t>
      </w:r>
      <w:r w:rsidRPr="00812EED">
        <w:t xml:space="preserve">), </w:t>
      </w:r>
      <w:r w:rsidRPr="00812EED">
        <w:rPr>
          <w:i/>
        </w:rPr>
        <w:t>Field Seminar IV (SOWK792/SWK648)</w:t>
      </w:r>
      <w:r w:rsidRPr="00812EED">
        <w:t xml:space="preserve">, and their second elective course. Students will use experiences directly from </w:t>
      </w:r>
      <w:r w:rsidRPr="00812EED">
        <w:rPr>
          <w:i/>
        </w:rPr>
        <w:t>Field Instruction IV (SOWK787/SWK647)</w:t>
      </w:r>
      <w:r w:rsidRPr="00812EED">
        <w:t xml:space="preserve"> to inform class assignments and use the course as a lab to deal with organizational level concerns they see in field practice. </w:t>
      </w:r>
    </w:p>
    <w:p w:rsidR="00A13F6B" w:rsidRPr="00812EED" w:rsidRDefault="00A13F6B"/>
    <w:p w:rsidR="00A13F6B" w:rsidRPr="00812EED" w:rsidRDefault="00B22E7A">
      <w:pPr>
        <w:ind w:left="-5" w:right="15" w:hanging="10"/>
        <w:rPr>
          <w:b/>
          <w:color w:val="000000"/>
        </w:rPr>
      </w:pPr>
      <w:r w:rsidRPr="00812EED">
        <w:rPr>
          <w:b/>
          <w:color w:val="000000"/>
        </w:rPr>
        <w:t>Linkage of this Course to CSWE Competencies</w:t>
      </w:r>
    </w:p>
    <w:p w:rsidR="00812EED" w:rsidRDefault="00812EED">
      <w:pPr>
        <w:ind w:left="-5" w:right="15" w:firstLine="720"/>
        <w:rPr>
          <w:color w:val="000000"/>
        </w:rPr>
      </w:pPr>
    </w:p>
    <w:p w:rsidR="00A13F6B" w:rsidRPr="00812EED" w:rsidRDefault="00B22E7A">
      <w:pPr>
        <w:ind w:left="-5" w:right="15" w:firstLine="720"/>
        <w:rPr>
          <w:color w:val="000000"/>
        </w:rPr>
      </w:pPr>
      <w:r w:rsidRPr="00812EED">
        <w:rPr>
          <w:color w:val="000000"/>
        </w:rPr>
        <w:t>This course, taken in the second semester of the specialization year, is part of the JMSW Program’s competency-based curriculum that has been designed to comply with the Council on Social Work Education’s (CSWE) Educational Policy and Accreditation Standards (EPAS) as revised in 2015. CSWE has delineated 9 core competencies that must be adequately addressed in an MSW curriculum, at both the generalist and specialization levels, as listed below. CSWE defines each competency as describing “the knowledge, values, skills, and cognitive and affective processes that comprise the competency.”  The JMSW faculty have identified knowledge, values, skills, cognitive and affective processes and 27 behaviors that extend and enhance the core competencies for the JMSW specialization curriculum. These behaviors are unique to the JMSW Program’s specialization: multicultural clinical practice.</w:t>
      </w:r>
    </w:p>
    <w:p w:rsidR="00A13F6B" w:rsidRPr="00812EED" w:rsidRDefault="00A13F6B">
      <w:pPr>
        <w:ind w:left="-5" w:right="15" w:hanging="10"/>
        <w:rPr>
          <w:b/>
          <w:color w:val="000000"/>
        </w:rPr>
      </w:pPr>
    </w:p>
    <w:p w:rsidR="00A13F6B" w:rsidRPr="00812EED" w:rsidRDefault="00B22E7A">
      <w:pPr>
        <w:ind w:left="-5" w:right="15" w:hanging="10"/>
        <w:jc w:val="center"/>
        <w:rPr>
          <w:b/>
          <w:color w:val="000000"/>
        </w:rPr>
      </w:pPr>
      <w:r w:rsidRPr="00812EED">
        <w:rPr>
          <w:b/>
          <w:color w:val="000000"/>
        </w:rPr>
        <w:t>Nine Competencies Identified by CSWE</w:t>
      </w:r>
    </w:p>
    <w:p w:rsidR="00A13F6B" w:rsidRPr="00812EED" w:rsidRDefault="00A13F6B">
      <w:pPr>
        <w:ind w:left="-5" w:right="15" w:hanging="10"/>
        <w:rPr>
          <w:b/>
          <w:color w:val="000000"/>
        </w:rPr>
      </w:pPr>
    </w:p>
    <w:tbl>
      <w:tblPr>
        <w:tblStyle w:val="a"/>
        <w:tblW w:w="9000" w:type="dxa"/>
        <w:tblInd w:w="558" w:type="dxa"/>
        <w:tblLayout w:type="fixed"/>
        <w:tblLook w:val="0000" w:firstRow="0" w:lastRow="0" w:firstColumn="0" w:lastColumn="0" w:noHBand="0" w:noVBand="0"/>
      </w:tblPr>
      <w:tblGrid>
        <w:gridCol w:w="450"/>
        <w:gridCol w:w="8550"/>
      </w:tblGrid>
      <w:tr w:rsidR="00A13F6B" w:rsidRPr="00812EED">
        <w:tc>
          <w:tcPr>
            <w:tcW w:w="450" w:type="dxa"/>
          </w:tcPr>
          <w:p w:rsidR="00A13F6B" w:rsidRPr="00812EED" w:rsidRDefault="00B22E7A">
            <w:pPr>
              <w:ind w:left="-5" w:right="15" w:hanging="108"/>
              <w:rPr>
                <w:color w:val="000000"/>
              </w:rPr>
            </w:pPr>
            <w:r w:rsidRPr="00812EED">
              <w:rPr>
                <w:color w:val="000000"/>
              </w:rPr>
              <w:t>1.</w:t>
            </w:r>
          </w:p>
        </w:tc>
        <w:tc>
          <w:tcPr>
            <w:tcW w:w="8550" w:type="dxa"/>
          </w:tcPr>
          <w:p w:rsidR="00A13F6B" w:rsidRPr="00812EED" w:rsidRDefault="00B22E7A">
            <w:pPr>
              <w:ind w:left="-5" w:right="15" w:hanging="10"/>
              <w:rPr>
                <w:color w:val="000000"/>
              </w:rPr>
            </w:pPr>
            <w:r w:rsidRPr="00812EED">
              <w:rPr>
                <w:color w:val="000000"/>
              </w:rPr>
              <w:t>Demonstrate ethical and professional behavior.</w:t>
            </w:r>
          </w:p>
        </w:tc>
      </w:tr>
      <w:tr w:rsidR="00A13F6B" w:rsidRPr="00812EED">
        <w:tc>
          <w:tcPr>
            <w:tcW w:w="450" w:type="dxa"/>
          </w:tcPr>
          <w:p w:rsidR="00A13F6B" w:rsidRPr="00812EED" w:rsidRDefault="00B22E7A">
            <w:pPr>
              <w:ind w:left="-5" w:right="15" w:hanging="108"/>
              <w:rPr>
                <w:color w:val="000000"/>
              </w:rPr>
            </w:pPr>
            <w:r w:rsidRPr="00812EED">
              <w:rPr>
                <w:color w:val="000000"/>
              </w:rPr>
              <w:t>2.</w:t>
            </w:r>
          </w:p>
        </w:tc>
        <w:tc>
          <w:tcPr>
            <w:tcW w:w="8550" w:type="dxa"/>
          </w:tcPr>
          <w:p w:rsidR="00A13F6B" w:rsidRPr="00812EED" w:rsidRDefault="00B22E7A">
            <w:pPr>
              <w:ind w:left="-5" w:right="15" w:hanging="10"/>
              <w:rPr>
                <w:color w:val="000000"/>
              </w:rPr>
            </w:pPr>
            <w:r w:rsidRPr="00812EED">
              <w:rPr>
                <w:color w:val="000000"/>
              </w:rPr>
              <w:t>Engage diversity and difference in practice.</w:t>
            </w:r>
          </w:p>
        </w:tc>
      </w:tr>
      <w:tr w:rsidR="00A13F6B" w:rsidRPr="00812EED">
        <w:tc>
          <w:tcPr>
            <w:tcW w:w="450" w:type="dxa"/>
          </w:tcPr>
          <w:p w:rsidR="00A13F6B" w:rsidRPr="00812EED" w:rsidRDefault="00B22E7A">
            <w:pPr>
              <w:ind w:left="-5" w:right="15" w:hanging="108"/>
              <w:rPr>
                <w:color w:val="000000"/>
              </w:rPr>
            </w:pPr>
            <w:r w:rsidRPr="00812EED">
              <w:rPr>
                <w:color w:val="000000"/>
              </w:rPr>
              <w:t>3.</w:t>
            </w:r>
          </w:p>
        </w:tc>
        <w:tc>
          <w:tcPr>
            <w:tcW w:w="8550" w:type="dxa"/>
          </w:tcPr>
          <w:p w:rsidR="00A13F6B" w:rsidRPr="00812EED" w:rsidRDefault="00B22E7A">
            <w:pPr>
              <w:ind w:left="-5" w:right="15" w:hanging="10"/>
              <w:rPr>
                <w:color w:val="000000"/>
              </w:rPr>
            </w:pPr>
            <w:r w:rsidRPr="00812EED">
              <w:rPr>
                <w:color w:val="000000"/>
              </w:rPr>
              <w:t>Advance human rights and social, economic, and environmental justice.</w:t>
            </w:r>
          </w:p>
        </w:tc>
      </w:tr>
      <w:tr w:rsidR="00A13F6B" w:rsidRPr="00812EED">
        <w:tc>
          <w:tcPr>
            <w:tcW w:w="450" w:type="dxa"/>
          </w:tcPr>
          <w:p w:rsidR="00A13F6B" w:rsidRPr="00812EED" w:rsidRDefault="00B22E7A">
            <w:pPr>
              <w:ind w:left="-5" w:right="15" w:hanging="108"/>
              <w:rPr>
                <w:color w:val="000000"/>
              </w:rPr>
            </w:pPr>
            <w:r w:rsidRPr="00812EED">
              <w:rPr>
                <w:color w:val="000000"/>
              </w:rPr>
              <w:t>4.</w:t>
            </w:r>
          </w:p>
        </w:tc>
        <w:tc>
          <w:tcPr>
            <w:tcW w:w="8550" w:type="dxa"/>
          </w:tcPr>
          <w:p w:rsidR="00A13F6B" w:rsidRPr="00812EED" w:rsidRDefault="00B22E7A">
            <w:pPr>
              <w:ind w:left="-5" w:right="15" w:hanging="10"/>
              <w:rPr>
                <w:color w:val="000000"/>
              </w:rPr>
            </w:pPr>
            <w:r w:rsidRPr="00812EED">
              <w:rPr>
                <w:color w:val="000000"/>
              </w:rPr>
              <w:t>Engage in practice-informed research and research-informed practice.</w:t>
            </w:r>
          </w:p>
        </w:tc>
      </w:tr>
      <w:tr w:rsidR="00A13F6B" w:rsidRPr="00812EED">
        <w:tc>
          <w:tcPr>
            <w:tcW w:w="450" w:type="dxa"/>
          </w:tcPr>
          <w:p w:rsidR="00A13F6B" w:rsidRPr="00812EED" w:rsidRDefault="00B22E7A">
            <w:pPr>
              <w:ind w:left="-5" w:right="15" w:hanging="108"/>
              <w:rPr>
                <w:color w:val="000000"/>
              </w:rPr>
            </w:pPr>
            <w:r w:rsidRPr="00812EED">
              <w:rPr>
                <w:color w:val="000000"/>
              </w:rPr>
              <w:t>5.</w:t>
            </w:r>
          </w:p>
        </w:tc>
        <w:tc>
          <w:tcPr>
            <w:tcW w:w="8550" w:type="dxa"/>
          </w:tcPr>
          <w:p w:rsidR="00A13F6B" w:rsidRPr="00812EED" w:rsidRDefault="00B22E7A">
            <w:pPr>
              <w:ind w:left="-5" w:right="15" w:hanging="10"/>
              <w:rPr>
                <w:color w:val="000000"/>
              </w:rPr>
            </w:pPr>
            <w:r w:rsidRPr="00812EED">
              <w:rPr>
                <w:color w:val="000000"/>
              </w:rPr>
              <w:t>Engage in policy practice.</w:t>
            </w:r>
          </w:p>
        </w:tc>
      </w:tr>
      <w:tr w:rsidR="00A13F6B" w:rsidRPr="00812EED">
        <w:tc>
          <w:tcPr>
            <w:tcW w:w="450" w:type="dxa"/>
          </w:tcPr>
          <w:p w:rsidR="00A13F6B" w:rsidRPr="00812EED" w:rsidRDefault="00B22E7A">
            <w:pPr>
              <w:ind w:left="-5" w:right="15" w:hanging="108"/>
              <w:rPr>
                <w:color w:val="000000"/>
              </w:rPr>
            </w:pPr>
            <w:r w:rsidRPr="00812EED">
              <w:rPr>
                <w:color w:val="000000"/>
              </w:rPr>
              <w:t>6.</w:t>
            </w:r>
          </w:p>
        </w:tc>
        <w:tc>
          <w:tcPr>
            <w:tcW w:w="8550" w:type="dxa"/>
          </w:tcPr>
          <w:p w:rsidR="00A13F6B" w:rsidRPr="00812EED" w:rsidRDefault="00B22E7A">
            <w:pPr>
              <w:ind w:left="-5" w:right="15" w:hanging="10"/>
              <w:rPr>
                <w:color w:val="000000"/>
              </w:rPr>
            </w:pPr>
            <w:r w:rsidRPr="00812EED">
              <w:rPr>
                <w:color w:val="000000"/>
              </w:rPr>
              <w:t>Engage with individuals, families, and groups, organizations, and communities.</w:t>
            </w:r>
          </w:p>
        </w:tc>
      </w:tr>
      <w:tr w:rsidR="00A13F6B" w:rsidRPr="00812EED">
        <w:tc>
          <w:tcPr>
            <w:tcW w:w="450" w:type="dxa"/>
          </w:tcPr>
          <w:p w:rsidR="00A13F6B" w:rsidRPr="00812EED" w:rsidRDefault="00B22E7A">
            <w:pPr>
              <w:ind w:left="-5" w:right="15" w:hanging="108"/>
              <w:rPr>
                <w:color w:val="000000"/>
              </w:rPr>
            </w:pPr>
            <w:bookmarkStart w:id="0" w:name="_gjdgxs" w:colFirst="0" w:colLast="0"/>
            <w:bookmarkEnd w:id="0"/>
            <w:r w:rsidRPr="00812EED">
              <w:rPr>
                <w:color w:val="000000"/>
              </w:rPr>
              <w:t>7.</w:t>
            </w:r>
          </w:p>
        </w:tc>
        <w:tc>
          <w:tcPr>
            <w:tcW w:w="8550" w:type="dxa"/>
          </w:tcPr>
          <w:p w:rsidR="00A13F6B" w:rsidRPr="00812EED" w:rsidRDefault="00B22E7A">
            <w:pPr>
              <w:ind w:left="-5" w:right="15" w:hanging="10"/>
              <w:rPr>
                <w:color w:val="000000"/>
              </w:rPr>
            </w:pPr>
            <w:r w:rsidRPr="00812EED">
              <w:rPr>
                <w:color w:val="000000"/>
              </w:rPr>
              <w:t>Assess individuals, families, and groups, organizations, and communities.</w:t>
            </w:r>
          </w:p>
        </w:tc>
      </w:tr>
      <w:tr w:rsidR="00A13F6B" w:rsidRPr="00812EED">
        <w:tc>
          <w:tcPr>
            <w:tcW w:w="450" w:type="dxa"/>
          </w:tcPr>
          <w:p w:rsidR="00A13F6B" w:rsidRPr="00812EED" w:rsidRDefault="00B22E7A">
            <w:pPr>
              <w:ind w:left="-5" w:right="15" w:hanging="108"/>
              <w:rPr>
                <w:color w:val="000000"/>
              </w:rPr>
            </w:pPr>
            <w:r w:rsidRPr="00812EED">
              <w:rPr>
                <w:color w:val="000000"/>
              </w:rPr>
              <w:lastRenderedPageBreak/>
              <w:t>8.</w:t>
            </w:r>
          </w:p>
        </w:tc>
        <w:tc>
          <w:tcPr>
            <w:tcW w:w="8550" w:type="dxa"/>
          </w:tcPr>
          <w:p w:rsidR="00A13F6B" w:rsidRPr="00812EED" w:rsidRDefault="00B22E7A">
            <w:pPr>
              <w:ind w:left="-5" w:right="15" w:hanging="10"/>
              <w:rPr>
                <w:color w:val="000000"/>
              </w:rPr>
            </w:pPr>
            <w:r w:rsidRPr="00812EED">
              <w:rPr>
                <w:color w:val="000000"/>
              </w:rPr>
              <w:t>Intervene with individuals, families, and groups, organizations, and communities.</w:t>
            </w:r>
          </w:p>
        </w:tc>
      </w:tr>
      <w:tr w:rsidR="00A13F6B" w:rsidRPr="00812EED">
        <w:tc>
          <w:tcPr>
            <w:tcW w:w="450" w:type="dxa"/>
          </w:tcPr>
          <w:p w:rsidR="00A13F6B" w:rsidRPr="00812EED" w:rsidRDefault="00B22E7A">
            <w:pPr>
              <w:ind w:left="-5" w:right="15" w:hanging="108"/>
              <w:rPr>
                <w:color w:val="000000"/>
              </w:rPr>
            </w:pPr>
            <w:r w:rsidRPr="00812EED">
              <w:rPr>
                <w:color w:val="000000"/>
              </w:rPr>
              <w:t>9.</w:t>
            </w:r>
          </w:p>
        </w:tc>
        <w:tc>
          <w:tcPr>
            <w:tcW w:w="8550" w:type="dxa"/>
          </w:tcPr>
          <w:p w:rsidR="00A13F6B" w:rsidRPr="00812EED" w:rsidRDefault="00B22E7A">
            <w:pPr>
              <w:ind w:left="-5" w:right="15" w:hanging="10"/>
              <w:rPr>
                <w:color w:val="000000"/>
              </w:rPr>
            </w:pPr>
            <w:r w:rsidRPr="00812EED">
              <w:rPr>
                <w:color w:val="000000"/>
              </w:rPr>
              <w:t>Evaluate practice with individuals, families, and groups, organizations, and communities.</w:t>
            </w:r>
          </w:p>
        </w:tc>
      </w:tr>
    </w:tbl>
    <w:p w:rsidR="00A13F6B" w:rsidRPr="00812EED" w:rsidRDefault="00A13F6B">
      <w:pPr>
        <w:ind w:left="-5" w:right="15" w:hanging="10"/>
        <w:rPr>
          <w:color w:val="000000"/>
        </w:rPr>
      </w:pPr>
    </w:p>
    <w:p w:rsidR="00A13F6B" w:rsidRPr="00812EED" w:rsidRDefault="00B22E7A">
      <w:pPr>
        <w:ind w:left="-5" w:right="15" w:hanging="10"/>
        <w:rPr>
          <w:color w:val="000000"/>
        </w:rPr>
      </w:pPr>
      <w:r w:rsidRPr="00812EED">
        <w:rPr>
          <w:color w:val="000000"/>
        </w:rPr>
        <w:t>This specialization year course addresses all the competencies listed above.</w:t>
      </w:r>
    </w:p>
    <w:p w:rsidR="00A13F6B" w:rsidRPr="00812EED" w:rsidRDefault="00A13F6B">
      <w:pPr>
        <w:ind w:left="-5" w:right="15" w:hanging="10"/>
        <w:rPr>
          <w:b/>
          <w:color w:val="000000"/>
        </w:rPr>
      </w:pPr>
    </w:p>
    <w:p w:rsidR="00A13F6B" w:rsidRPr="00812EED" w:rsidRDefault="00B22E7A">
      <w:pPr>
        <w:ind w:left="-5" w:right="15" w:hanging="10"/>
        <w:rPr>
          <w:b/>
          <w:color w:val="000000"/>
        </w:rPr>
      </w:pPr>
      <w:r w:rsidRPr="00812EED">
        <w:rPr>
          <w:b/>
          <w:color w:val="000000"/>
        </w:rPr>
        <w:t>Outcomes for JMSW Competency-based Curriculum</w:t>
      </w:r>
    </w:p>
    <w:p w:rsidR="00812EED" w:rsidRDefault="00812EED">
      <w:pPr>
        <w:ind w:left="-5" w:right="15" w:firstLine="576"/>
        <w:rPr>
          <w:color w:val="000000"/>
        </w:rPr>
      </w:pPr>
    </w:p>
    <w:p w:rsidR="00A13F6B" w:rsidRPr="00812EED" w:rsidRDefault="00B22E7A">
      <w:pPr>
        <w:ind w:left="-5" w:right="15" w:firstLine="576"/>
        <w:rPr>
          <w:color w:val="000000"/>
        </w:rPr>
      </w:pPr>
      <w:r w:rsidRPr="00812EED">
        <w:rPr>
          <w:color w:val="000000"/>
        </w:rPr>
        <w:t>Each CSWE competency is comprised of underlying knowledge, skill, values, and cognitive/affective processes.  The following table lists the competencies that are addressed in this course, along with student learning goals designed to address aspects of knowledge (K), skill (S), values (V), and cognitive/affective processes (C/AP) relevant to the course.  The last column (Assessments) describes which course assignments assess these student learning goals.  Each course in the curriculum also contains embedded measures to assess specific CSWE-identified generalist behaviors, as described above. In the Assessments column, information is provided about which assignments are used as embedded measures (EM) in this course.</w:t>
      </w:r>
    </w:p>
    <w:p w:rsidR="00A13F6B" w:rsidRPr="00812EED" w:rsidRDefault="00A13F6B">
      <w:pPr>
        <w:ind w:left="-5" w:right="15" w:hanging="10"/>
        <w:rPr>
          <w:b/>
          <w:color w:val="000000"/>
        </w:rPr>
      </w:pPr>
    </w:p>
    <w:p w:rsidR="00A13F6B" w:rsidRPr="00812EED" w:rsidRDefault="00B22E7A">
      <w:pPr>
        <w:ind w:left="-5" w:right="15" w:hanging="10"/>
        <w:jc w:val="center"/>
        <w:rPr>
          <w:b/>
          <w:color w:val="000000"/>
        </w:rPr>
      </w:pPr>
      <w:r w:rsidRPr="00812EED">
        <w:rPr>
          <w:b/>
          <w:color w:val="000000"/>
        </w:rPr>
        <w:t>List of Competencies/Outcomes, Student Learning Goals, and Assessments</w:t>
      </w:r>
    </w:p>
    <w:p w:rsidR="00A13F6B" w:rsidRPr="00812EED" w:rsidRDefault="00A13F6B">
      <w:pPr>
        <w:ind w:left="-5" w:right="15" w:hanging="10"/>
        <w:rPr>
          <w:b/>
          <w:color w:val="000000"/>
        </w:rPr>
      </w:pPr>
    </w:p>
    <w:tbl>
      <w:tblPr>
        <w:tblStyle w:val="a0"/>
        <w:tblW w:w="9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4050"/>
        <w:gridCol w:w="2479"/>
      </w:tblGrid>
      <w:tr w:rsidR="00A13F6B" w:rsidRPr="00812EED">
        <w:tc>
          <w:tcPr>
            <w:tcW w:w="2628" w:type="dxa"/>
          </w:tcPr>
          <w:p w:rsidR="00A13F6B" w:rsidRPr="00812EED" w:rsidRDefault="00B22E7A">
            <w:pPr>
              <w:ind w:left="-5" w:right="15" w:hanging="10"/>
              <w:rPr>
                <w:b/>
                <w:color w:val="000000"/>
              </w:rPr>
            </w:pPr>
            <w:r w:rsidRPr="00812EED">
              <w:rPr>
                <w:b/>
                <w:color w:val="000000"/>
              </w:rPr>
              <w:t>Competencies/ Outcomes</w:t>
            </w:r>
          </w:p>
        </w:tc>
        <w:tc>
          <w:tcPr>
            <w:tcW w:w="4050" w:type="dxa"/>
          </w:tcPr>
          <w:p w:rsidR="00A13F6B" w:rsidRPr="00812EED" w:rsidRDefault="00B22E7A">
            <w:pPr>
              <w:ind w:left="-5" w:right="15" w:hanging="10"/>
              <w:rPr>
                <w:b/>
                <w:color w:val="000000"/>
              </w:rPr>
            </w:pPr>
            <w:r w:rsidRPr="00812EED">
              <w:rPr>
                <w:b/>
                <w:color w:val="000000"/>
              </w:rPr>
              <w:t>Student Learning Goals</w:t>
            </w:r>
          </w:p>
          <w:p w:rsidR="00A13F6B" w:rsidRPr="00812EED" w:rsidRDefault="00A13F6B">
            <w:pPr>
              <w:ind w:left="-5" w:right="15" w:hanging="10"/>
              <w:rPr>
                <w:b/>
                <w:color w:val="000000"/>
              </w:rPr>
            </w:pPr>
          </w:p>
        </w:tc>
        <w:tc>
          <w:tcPr>
            <w:tcW w:w="2479" w:type="dxa"/>
          </w:tcPr>
          <w:p w:rsidR="00A13F6B" w:rsidRPr="00812EED" w:rsidRDefault="00B22E7A">
            <w:pPr>
              <w:ind w:left="-5" w:right="15" w:hanging="10"/>
              <w:rPr>
                <w:b/>
                <w:color w:val="000000"/>
              </w:rPr>
            </w:pPr>
            <w:r w:rsidRPr="00812EED">
              <w:rPr>
                <w:b/>
                <w:color w:val="000000"/>
              </w:rPr>
              <w:t>Assessments</w:t>
            </w:r>
          </w:p>
        </w:tc>
      </w:tr>
      <w:tr w:rsidR="00A13F6B" w:rsidRPr="00812EED">
        <w:tc>
          <w:tcPr>
            <w:tcW w:w="2628" w:type="dxa"/>
            <w:vMerge w:val="restart"/>
          </w:tcPr>
          <w:p w:rsidR="00A13F6B" w:rsidRPr="00812EED" w:rsidRDefault="00B22E7A">
            <w:pPr>
              <w:ind w:left="-5" w:right="15" w:hanging="10"/>
              <w:rPr>
                <w:color w:val="000000"/>
              </w:rPr>
            </w:pPr>
            <w:r w:rsidRPr="00812EED">
              <w:rPr>
                <w:b/>
                <w:color w:val="000000"/>
              </w:rPr>
              <w:t>1: Demonstrate ethical and professional behavior.</w:t>
            </w:r>
          </w:p>
        </w:tc>
        <w:tc>
          <w:tcPr>
            <w:tcW w:w="4050" w:type="dxa"/>
          </w:tcPr>
          <w:p w:rsidR="00A13F6B" w:rsidRPr="00812EED" w:rsidRDefault="00B22E7A">
            <w:pPr>
              <w:ind w:left="-5" w:right="15" w:hanging="10"/>
              <w:rPr>
                <w:color w:val="000000"/>
              </w:rPr>
            </w:pPr>
            <w:r w:rsidRPr="00812EED">
              <w:rPr>
                <w:color w:val="000000"/>
              </w:rPr>
              <w:t>Students will use the NASW Code of Ethics to explain their choices for interventions to improve outcomes for clients of human service organizations (K, V)</w:t>
            </w:r>
          </w:p>
        </w:tc>
        <w:tc>
          <w:tcPr>
            <w:tcW w:w="2479" w:type="dxa"/>
          </w:tcPr>
          <w:p w:rsidR="00A13F6B" w:rsidRPr="00812EED" w:rsidRDefault="00B22E7A">
            <w:pPr>
              <w:ind w:left="-5" w:right="15" w:hanging="10"/>
              <w:rPr>
                <w:color w:val="000000"/>
              </w:rPr>
            </w:pPr>
            <w:r w:rsidRPr="00812EED">
              <w:t>Multicultural Organizational Development (MOD) and Program Proposal (PP)</w:t>
            </w:r>
            <w:r w:rsidR="00812EED">
              <w:t xml:space="preserve"> </w:t>
            </w:r>
            <w:r w:rsidRPr="00812EED">
              <w:t>Assignments</w:t>
            </w:r>
            <w:r w:rsidRPr="00812EED">
              <w:rPr>
                <w:color w:val="000000"/>
              </w:rPr>
              <w:t xml:space="preserve"> </w:t>
            </w:r>
          </w:p>
        </w:tc>
      </w:tr>
      <w:tr w:rsidR="008B0CA0" w:rsidRPr="00812EED" w:rsidTr="00EE4509">
        <w:trPr>
          <w:trHeight w:val="562"/>
        </w:trPr>
        <w:tc>
          <w:tcPr>
            <w:tcW w:w="2628" w:type="dxa"/>
            <w:vMerge/>
          </w:tcPr>
          <w:p w:rsidR="008B0CA0" w:rsidRPr="00812EED" w:rsidRDefault="008B0CA0">
            <w:pPr>
              <w:widowControl w:val="0"/>
              <w:pBdr>
                <w:top w:val="nil"/>
                <w:left w:val="nil"/>
                <w:bottom w:val="nil"/>
                <w:right w:val="nil"/>
                <w:between w:val="nil"/>
              </w:pBdr>
              <w:spacing w:line="276" w:lineRule="auto"/>
              <w:rPr>
                <w:color w:val="000000"/>
              </w:rPr>
            </w:pPr>
          </w:p>
        </w:tc>
        <w:tc>
          <w:tcPr>
            <w:tcW w:w="4050" w:type="dxa"/>
          </w:tcPr>
          <w:p w:rsidR="008B0CA0" w:rsidRPr="00812EED" w:rsidRDefault="008B0CA0">
            <w:pPr>
              <w:ind w:left="-5" w:right="15" w:hanging="10"/>
              <w:rPr>
                <w:color w:val="000000"/>
              </w:rPr>
            </w:pPr>
            <w:r w:rsidRPr="00812EED">
              <w:rPr>
                <w:color w:val="000000"/>
              </w:rPr>
              <w:t>Students will understand ethical issues related to supervision. (K, V)</w:t>
            </w:r>
          </w:p>
        </w:tc>
        <w:tc>
          <w:tcPr>
            <w:tcW w:w="2479" w:type="dxa"/>
          </w:tcPr>
          <w:p w:rsidR="008B0CA0" w:rsidRPr="00812EED" w:rsidRDefault="008B0CA0">
            <w:pPr>
              <w:ind w:left="-5" w:right="15" w:hanging="10"/>
              <w:rPr>
                <w:color w:val="000000"/>
              </w:rPr>
            </w:pPr>
            <w:r w:rsidRPr="00812EED">
              <w:t>Exam</w:t>
            </w:r>
          </w:p>
        </w:tc>
      </w:tr>
      <w:tr w:rsidR="008B0CA0" w:rsidRPr="00812EED" w:rsidTr="002A4C9F">
        <w:trPr>
          <w:trHeight w:val="1380"/>
        </w:trPr>
        <w:tc>
          <w:tcPr>
            <w:tcW w:w="2628" w:type="dxa"/>
          </w:tcPr>
          <w:p w:rsidR="008B0CA0" w:rsidRPr="00812EED" w:rsidRDefault="008B0CA0">
            <w:pPr>
              <w:ind w:left="-5" w:right="15" w:hanging="10"/>
              <w:rPr>
                <w:b/>
                <w:color w:val="000000"/>
              </w:rPr>
            </w:pPr>
            <w:r w:rsidRPr="00812EED">
              <w:rPr>
                <w:b/>
                <w:color w:val="000000"/>
              </w:rPr>
              <w:t>2: Engage diversity and difference in practice.</w:t>
            </w:r>
          </w:p>
        </w:tc>
        <w:tc>
          <w:tcPr>
            <w:tcW w:w="4050" w:type="dxa"/>
          </w:tcPr>
          <w:p w:rsidR="008B0CA0" w:rsidRPr="00812EED" w:rsidRDefault="008B0CA0">
            <w:pPr>
              <w:ind w:left="-5" w:right="15" w:hanging="10"/>
              <w:rPr>
                <w:color w:val="000000"/>
              </w:rPr>
            </w:pPr>
            <w:r w:rsidRPr="00812EED">
              <w:rPr>
                <w:color w:val="000000"/>
              </w:rPr>
              <w:t>Students will analyze the policies and procedures of an agency to determine what changes need to be made to ensure the needs of diverse groups are met fairly and effectively.  (S, V, CP)</w:t>
            </w:r>
          </w:p>
        </w:tc>
        <w:tc>
          <w:tcPr>
            <w:tcW w:w="2479" w:type="dxa"/>
          </w:tcPr>
          <w:p w:rsidR="008B0CA0" w:rsidRPr="00812EED" w:rsidRDefault="008B0CA0">
            <w:pPr>
              <w:ind w:left="-5" w:right="15" w:hanging="10"/>
              <w:rPr>
                <w:color w:val="000000"/>
              </w:rPr>
            </w:pPr>
            <w:r w:rsidRPr="00812EED">
              <w:t>MOD Assignment</w:t>
            </w:r>
          </w:p>
        </w:tc>
      </w:tr>
      <w:tr w:rsidR="00A13F6B" w:rsidRPr="00812EED">
        <w:tc>
          <w:tcPr>
            <w:tcW w:w="2628" w:type="dxa"/>
            <w:vMerge w:val="restart"/>
          </w:tcPr>
          <w:p w:rsidR="00A13F6B" w:rsidRPr="00812EED" w:rsidRDefault="00B22E7A">
            <w:pPr>
              <w:ind w:left="-5" w:right="15" w:hanging="10"/>
              <w:rPr>
                <w:b/>
                <w:color w:val="000000"/>
              </w:rPr>
            </w:pPr>
            <w:r w:rsidRPr="00812EED">
              <w:rPr>
                <w:b/>
                <w:color w:val="000000"/>
              </w:rPr>
              <w:t>3: Advance human rights and social, economic, and environmental justice.</w:t>
            </w:r>
          </w:p>
        </w:tc>
        <w:tc>
          <w:tcPr>
            <w:tcW w:w="4050" w:type="dxa"/>
            <w:tcBorders>
              <w:bottom w:val="single" w:sz="4" w:space="0" w:color="000000"/>
            </w:tcBorders>
          </w:tcPr>
          <w:p w:rsidR="00A13F6B" w:rsidRPr="00812EED" w:rsidRDefault="00B22E7A">
            <w:pPr>
              <w:ind w:left="-5" w:right="15" w:hanging="10"/>
              <w:rPr>
                <w:color w:val="000000"/>
              </w:rPr>
            </w:pPr>
            <w:r w:rsidRPr="00812EED">
              <w:rPr>
                <w:color w:val="000000"/>
              </w:rPr>
              <w:t>Students will identify a social, economic, or environmental problem, explaining the role of oppression and marginalization and develop a program plan to address the problem.  (K, S, CP)</w:t>
            </w:r>
          </w:p>
        </w:tc>
        <w:tc>
          <w:tcPr>
            <w:tcW w:w="2479" w:type="dxa"/>
            <w:tcBorders>
              <w:bottom w:val="single" w:sz="4" w:space="0" w:color="000000"/>
            </w:tcBorders>
          </w:tcPr>
          <w:p w:rsidR="00A13F6B" w:rsidRPr="00812EED" w:rsidRDefault="00B22E7A">
            <w:pPr>
              <w:ind w:left="-5" w:right="15" w:hanging="10"/>
              <w:rPr>
                <w:color w:val="000000"/>
              </w:rPr>
            </w:pPr>
            <w:r w:rsidRPr="00812EED">
              <w:rPr>
                <w:color w:val="000000"/>
              </w:rPr>
              <w:t>PP Assignment (EM)</w:t>
            </w:r>
          </w:p>
        </w:tc>
      </w:tr>
      <w:tr w:rsidR="008B0CA0" w:rsidRPr="00812EED" w:rsidTr="00C53FD6">
        <w:trPr>
          <w:trHeight w:val="1104"/>
        </w:trPr>
        <w:tc>
          <w:tcPr>
            <w:tcW w:w="2628" w:type="dxa"/>
            <w:vMerge/>
          </w:tcPr>
          <w:p w:rsidR="008B0CA0" w:rsidRPr="00812EED" w:rsidRDefault="008B0CA0">
            <w:pPr>
              <w:widowControl w:val="0"/>
              <w:pBdr>
                <w:top w:val="nil"/>
                <w:left w:val="nil"/>
                <w:bottom w:val="nil"/>
                <w:right w:val="nil"/>
                <w:between w:val="nil"/>
              </w:pBdr>
              <w:spacing w:line="276" w:lineRule="auto"/>
              <w:rPr>
                <w:color w:val="000000"/>
              </w:rPr>
            </w:pPr>
          </w:p>
        </w:tc>
        <w:tc>
          <w:tcPr>
            <w:tcW w:w="4050" w:type="dxa"/>
          </w:tcPr>
          <w:p w:rsidR="008B0CA0" w:rsidRPr="00812EED" w:rsidRDefault="008B0CA0">
            <w:pPr>
              <w:ind w:left="-5" w:right="15" w:hanging="10"/>
              <w:rPr>
                <w:color w:val="000000"/>
              </w:rPr>
            </w:pPr>
            <w:r w:rsidRPr="00812EED">
              <w:rPr>
                <w:color w:val="000000"/>
              </w:rPr>
              <w:t>Students will articulate a strategy for securing resources from key stakeholders to support their proposed program. (K, S, CP)</w:t>
            </w:r>
          </w:p>
        </w:tc>
        <w:tc>
          <w:tcPr>
            <w:tcW w:w="2479" w:type="dxa"/>
          </w:tcPr>
          <w:p w:rsidR="008B0CA0" w:rsidRPr="00812EED" w:rsidRDefault="008B0CA0">
            <w:pPr>
              <w:ind w:left="-5" w:right="15" w:hanging="10"/>
              <w:rPr>
                <w:color w:val="000000"/>
              </w:rPr>
            </w:pPr>
            <w:r w:rsidRPr="00812EED">
              <w:rPr>
                <w:color w:val="000000"/>
              </w:rPr>
              <w:t xml:space="preserve">PP Assignment </w:t>
            </w:r>
          </w:p>
        </w:tc>
      </w:tr>
      <w:tr w:rsidR="00A13F6B" w:rsidRPr="00812EED">
        <w:tc>
          <w:tcPr>
            <w:tcW w:w="2628" w:type="dxa"/>
            <w:vMerge w:val="restart"/>
          </w:tcPr>
          <w:p w:rsidR="00A13F6B" w:rsidRPr="00812EED" w:rsidRDefault="00B22E7A">
            <w:pPr>
              <w:ind w:left="-5" w:right="15" w:hanging="10"/>
              <w:rPr>
                <w:color w:val="000000"/>
              </w:rPr>
            </w:pPr>
            <w:r w:rsidRPr="00812EED">
              <w:rPr>
                <w:b/>
                <w:color w:val="000000"/>
              </w:rPr>
              <w:t xml:space="preserve">4: Engage in practice-informed research and </w:t>
            </w:r>
            <w:r w:rsidRPr="00812EED">
              <w:rPr>
                <w:b/>
                <w:color w:val="000000"/>
              </w:rPr>
              <w:lastRenderedPageBreak/>
              <w:t>research-informed practice.</w:t>
            </w:r>
          </w:p>
        </w:tc>
        <w:tc>
          <w:tcPr>
            <w:tcW w:w="4050" w:type="dxa"/>
            <w:tcBorders>
              <w:bottom w:val="single" w:sz="4" w:space="0" w:color="000000"/>
            </w:tcBorders>
          </w:tcPr>
          <w:p w:rsidR="00A13F6B" w:rsidRPr="00812EED" w:rsidRDefault="00B22E7A">
            <w:pPr>
              <w:ind w:left="-5" w:right="15" w:hanging="10"/>
              <w:rPr>
                <w:color w:val="000000"/>
              </w:rPr>
            </w:pPr>
            <w:r w:rsidRPr="00812EED">
              <w:rPr>
                <w:color w:val="000000"/>
              </w:rPr>
              <w:lastRenderedPageBreak/>
              <w:t>Students will use research evidence to support needs assessment for proposed program. (S, CP)</w:t>
            </w:r>
          </w:p>
        </w:tc>
        <w:tc>
          <w:tcPr>
            <w:tcW w:w="2479" w:type="dxa"/>
            <w:tcBorders>
              <w:bottom w:val="single" w:sz="4" w:space="0" w:color="000000"/>
            </w:tcBorders>
          </w:tcPr>
          <w:p w:rsidR="00A13F6B" w:rsidRPr="00812EED" w:rsidRDefault="00B22E7A">
            <w:pPr>
              <w:ind w:left="-5" w:right="15" w:hanging="10"/>
              <w:rPr>
                <w:color w:val="000000"/>
              </w:rPr>
            </w:pPr>
            <w:r w:rsidRPr="00812EED">
              <w:rPr>
                <w:color w:val="000000"/>
              </w:rPr>
              <w:t>PP Assignment</w:t>
            </w:r>
          </w:p>
        </w:tc>
      </w:tr>
      <w:tr w:rsidR="00A13F6B" w:rsidRPr="00812EED">
        <w:tc>
          <w:tcPr>
            <w:tcW w:w="2628" w:type="dxa"/>
            <w:vMerge/>
          </w:tcPr>
          <w:p w:rsidR="00A13F6B" w:rsidRPr="00812EED" w:rsidRDefault="00A13F6B">
            <w:pPr>
              <w:widowControl w:val="0"/>
              <w:pBdr>
                <w:top w:val="nil"/>
                <w:left w:val="nil"/>
                <w:bottom w:val="nil"/>
                <w:right w:val="nil"/>
                <w:between w:val="nil"/>
              </w:pBdr>
              <w:spacing w:line="276" w:lineRule="auto"/>
              <w:rPr>
                <w:color w:val="000000"/>
              </w:rPr>
            </w:pPr>
          </w:p>
        </w:tc>
        <w:tc>
          <w:tcPr>
            <w:tcW w:w="4050" w:type="dxa"/>
            <w:tcBorders>
              <w:bottom w:val="single" w:sz="4" w:space="0" w:color="000000"/>
            </w:tcBorders>
          </w:tcPr>
          <w:p w:rsidR="00A13F6B" w:rsidRPr="00812EED" w:rsidRDefault="00B22E7A">
            <w:pPr>
              <w:ind w:left="-5" w:right="15" w:hanging="10"/>
              <w:rPr>
                <w:color w:val="000000"/>
              </w:rPr>
            </w:pPr>
            <w:r w:rsidRPr="00812EED">
              <w:rPr>
                <w:color w:val="000000"/>
              </w:rPr>
              <w:t>Students will use research evidence to support ideas for organizational development and program plans (S, CP)</w:t>
            </w:r>
          </w:p>
        </w:tc>
        <w:tc>
          <w:tcPr>
            <w:tcW w:w="2479" w:type="dxa"/>
            <w:tcBorders>
              <w:bottom w:val="single" w:sz="4" w:space="0" w:color="000000"/>
            </w:tcBorders>
          </w:tcPr>
          <w:p w:rsidR="00A13F6B" w:rsidRPr="00812EED" w:rsidRDefault="00B22E7A">
            <w:pPr>
              <w:ind w:left="-5" w:right="15" w:hanging="10"/>
              <w:rPr>
                <w:color w:val="000000"/>
              </w:rPr>
            </w:pPr>
            <w:r w:rsidRPr="00812EED">
              <w:rPr>
                <w:color w:val="000000"/>
              </w:rPr>
              <w:t>MOD and PP Assignment</w:t>
            </w:r>
          </w:p>
        </w:tc>
      </w:tr>
      <w:tr w:rsidR="00A13F6B" w:rsidRPr="00812EED">
        <w:tc>
          <w:tcPr>
            <w:tcW w:w="2628" w:type="dxa"/>
            <w:vMerge/>
          </w:tcPr>
          <w:p w:rsidR="00A13F6B" w:rsidRPr="00812EED" w:rsidRDefault="00A13F6B">
            <w:pPr>
              <w:widowControl w:val="0"/>
              <w:pBdr>
                <w:top w:val="nil"/>
                <w:left w:val="nil"/>
                <w:bottom w:val="nil"/>
                <w:right w:val="nil"/>
                <w:between w:val="nil"/>
              </w:pBdr>
              <w:spacing w:line="276" w:lineRule="auto"/>
              <w:rPr>
                <w:color w:val="000000"/>
              </w:rPr>
            </w:pPr>
          </w:p>
        </w:tc>
        <w:tc>
          <w:tcPr>
            <w:tcW w:w="4050" w:type="dxa"/>
            <w:tcBorders>
              <w:bottom w:val="single" w:sz="4" w:space="0" w:color="000000"/>
            </w:tcBorders>
          </w:tcPr>
          <w:p w:rsidR="00A13F6B" w:rsidRPr="00812EED" w:rsidRDefault="00B22E7A">
            <w:pPr>
              <w:ind w:left="-5" w:right="15" w:hanging="10"/>
              <w:rPr>
                <w:color w:val="000000"/>
              </w:rPr>
            </w:pPr>
            <w:r w:rsidRPr="00812EED">
              <w:rPr>
                <w:color w:val="000000"/>
              </w:rPr>
              <w:t>Students will articulate an understanding of evidence-informed practice and implementation science principles and processes within human service organizations (K)</w:t>
            </w:r>
          </w:p>
        </w:tc>
        <w:tc>
          <w:tcPr>
            <w:tcW w:w="2479" w:type="dxa"/>
            <w:tcBorders>
              <w:bottom w:val="single" w:sz="4" w:space="0" w:color="000000"/>
            </w:tcBorders>
          </w:tcPr>
          <w:p w:rsidR="00A13F6B" w:rsidRPr="00812EED" w:rsidRDefault="00B22E7A">
            <w:pPr>
              <w:ind w:left="-5" w:right="15" w:hanging="10"/>
              <w:rPr>
                <w:color w:val="000000"/>
              </w:rPr>
            </w:pPr>
            <w:r w:rsidRPr="00812EED">
              <w:rPr>
                <w:color w:val="000000"/>
              </w:rPr>
              <w:t>Exam</w:t>
            </w:r>
          </w:p>
        </w:tc>
      </w:tr>
      <w:tr w:rsidR="00A13F6B" w:rsidRPr="00812EED">
        <w:tc>
          <w:tcPr>
            <w:tcW w:w="2628" w:type="dxa"/>
            <w:vMerge w:val="restart"/>
          </w:tcPr>
          <w:p w:rsidR="00A13F6B" w:rsidRPr="00812EED" w:rsidRDefault="00B22E7A">
            <w:pPr>
              <w:ind w:left="-5" w:right="15" w:hanging="10"/>
              <w:rPr>
                <w:b/>
                <w:color w:val="000000"/>
              </w:rPr>
            </w:pPr>
            <w:r w:rsidRPr="00812EED">
              <w:rPr>
                <w:b/>
                <w:color w:val="000000"/>
              </w:rPr>
              <w:t>5. Engage in policy practice.</w:t>
            </w:r>
          </w:p>
        </w:tc>
        <w:tc>
          <w:tcPr>
            <w:tcW w:w="4050" w:type="dxa"/>
            <w:tcBorders>
              <w:bottom w:val="single" w:sz="4" w:space="0" w:color="000000"/>
            </w:tcBorders>
          </w:tcPr>
          <w:p w:rsidR="00A13F6B" w:rsidRPr="00812EED" w:rsidRDefault="00B22E7A">
            <w:pPr>
              <w:ind w:left="-5" w:right="15" w:hanging="10"/>
              <w:rPr>
                <w:color w:val="000000"/>
              </w:rPr>
            </w:pPr>
            <w:r w:rsidRPr="00812EED">
              <w:rPr>
                <w:color w:val="000000"/>
              </w:rPr>
              <w:t>Students will assess a current agency policy(s) and propose a policy change and/or addition to effectively alleviate or mitigate an organizational problem. (S, CP)</w:t>
            </w:r>
          </w:p>
        </w:tc>
        <w:tc>
          <w:tcPr>
            <w:tcW w:w="2479" w:type="dxa"/>
            <w:tcBorders>
              <w:bottom w:val="single" w:sz="4" w:space="0" w:color="000000"/>
            </w:tcBorders>
          </w:tcPr>
          <w:p w:rsidR="00A13F6B" w:rsidRPr="00812EED" w:rsidRDefault="00B22E7A">
            <w:pPr>
              <w:ind w:left="-5" w:right="15" w:hanging="10"/>
              <w:rPr>
                <w:color w:val="000000"/>
              </w:rPr>
            </w:pPr>
            <w:r w:rsidRPr="00812EED">
              <w:t>MOD Assignment</w:t>
            </w:r>
            <w:r w:rsidR="00ED1EA3">
              <w:t xml:space="preserve"> (EM)</w:t>
            </w:r>
            <w:bookmarkStart w:id="1" w:name="_GoBack"/>
            <w:bookmarkEnd w:id="1"/>
          </w:p>
        </w:tc>
      </w:tr>
      <w:tr w:rsidR="00A13F6B" w:rsidRPr="00812EED" w:rsidTr="008B0CA0">
        <w:tc>
          <w:tcPr>
            <w:tcW w:w="2628" w:type="dxa"/>
            <w:vMerge/>
            <w:tcBorders>
              <w:top w:val="single" w:sz="4" w:space="0" w:color="000000"/>
              <w:left w:val="single" w:sz="4" w:space="0" w:color="000000"/>
              <w:right w:val="single" w:sz="4" w:space="0" w:color="000000"/>
            </w:tcBorders>
          </w:tcPr>
          <w:p w:rsidR="00A13F6B" w:rsidRPr="00812EED" w:rsidRDefault="00A13F6B">
            <w:pPr>
              <w:widowControl w:val="0"/>
              <w:pBdr>
                <w:top w:val="nil"/>
                <w:left w:val="nil"/>
                <w:bottom w:val="nil"/>
                <w:right w:val="nil"/>
                <w:between w:val="nil"/>
              </w:pBdr>
              <w:spacing w:line="276" w:lineRule="auto"/>
              <w:rPr>
                <w:color w:val="000000"/>
              </w:rPr>
            </w:pPr>
          </w:p>
        </w:tc>
        <w:tc>
          <w:tcPr>
            <w:tcW w:w="4050" w:type="dxa"/>
            <w:tcBorders>
              <w:top w:val="single" w:sz="4" w:space="0" w:color="000000"/>
              <w:left w:val="single" w:sz="4" w:space="0" w:color="000000"/>
              <w:bottom w:val="single" w:sz="4" w:space="0" w:color="000000"/>
              <w:right w:val="single" w:sz="4" w:space="0" w:color="000000"/>
            </w:tcBorders>
          </w:tcPr>
          <w:p w:rsidR="00A13F6B" w:rsidRPr="00812EED" w:rsidRDefault="00B22E7A">
            <w:pPr>
              <w:ind w:left="-5" w:right="15" w:hanging="10"/>
              <w:rPr>
                <w:color w:val="000000"/>
              </w:rPr>
            </w:pPr>
            <w:r w:rsidRPr="00812EED">
              <w:rPr>
                <w:color w:val="000000"/>
              </w:rPr>
              <w:t>Students will develop a plan for advocating for the policy change and/or addition they developed with administrators and/or other agency stakeholders. (S, CP)</w:t>
            </w:r>
          </w:p>
        </w:tc>
        <w:tc>
          <w:tcPr>
            <w:tcW w:w="2479" w:type="dxa"/>
            <w:tcBorders>
              <w:top w:val="single" w:sz="4" w:space="0" w:color="000000"/>
              <w:left w:val="single" w:sz="4" w:space="0" w:color="000000"/>
              <w:bottom w:val="single" w:sz="4" w:space="0" w:color="000000"/>
              <w:right w:val="single" w:sz="4" w:space="0" w:color="000000"/>
            </w:tcBorders>
          </w:tcPr>
          <w:p w:rsidR="00A13F6B" w:rsidRPr="00812EED" w:rsidRDefault="00B22E7A">
            <w:pPr>
              <w:ind w:left="-5" w:right="15" w:hanging="10"/>
              <w:rPr>
                <w:color w:val="000000"/>
              </w:rPr>
            </w:pPr>
            <w:r w:rsidRPr="00812EED">
              <w:t>MOD Assignment (EM)</w:t>
            </w:r>
          </w:p>
        </w:tc>
      </w:tr>
      <w:tr w:rsidR="00A13F6B" w:rsidRPr="00812EED">
        <w:tc>
          <w:tcPr>
            <w:tcW w:w="2628" w:type="dxa"/>
            <w:vMerge w:val="restart"/>
            <w:shd w:val="clear" w:color="auto" w:fill="auto"/>
          </w:tcPr>
          <w:p w:rsidR="00A13F6B" w:rsidRPr="00812EED" w:rsidRDefault="00B22E7A">
            <w:pPr>
              <w:ind w:left="-5" w:right="15" w:hanging="10"/>
              <w:rPr>
                <w:b/>
                <w:color w:val="000000"/>
              </w:rPr>
            </w:pPr>
            <w:r w:rsidRPr="00812EED">
              <w:rPr>
                <w:b/>
                <w:color w:val="000000"/>
              </w:rPr>
              <w:t>6. Engage with individuals, families, and groups, organizations, and communities</w:t>
            </w:r>
          </w:p>
        </w:tc>
        <w:tc>
          <w:tcPr>
            <w:tcW w:w="4050" w:type="dxa"/>
            <w:shd w:val="clear" w:color="auto" w:fill="auto"/>
          </w:tcPr>
          <w:p w:rsidR="00A13F6B" w:rsidRPr="00812EED" w:rsidRDefault="00B22E7A">
            <w:pPr>
              <w:ind w:left="-5" w:right="15" w:hanging="10"/>
              <w:rPr>
                <w:color w:val="000000"/>
              </w:rPr>
            </w:pPr>
            <w:r w:rsidRPr="00812EED">
              <w:rPr>
                <w:color w:val="000000"/>
              </w:rPr>
              <w:t>Students will understand key structures and functions of human service organizations (K)</w:t>
            </w:r>
          </w:p>
        </w:tc>
        <w:tc>
          <w:tcPr>
            <w:tcW w:w="2479" w:type="dxa"/>
            <w:shd w:val="clear" w:color="auto" w:fill="auto"/>
          </w:tcPr>
          <w:p w:rsidR="00A13F6B" w:rsidRPr="00812EED" w:rsidRDefault="00B22E7A">
            <w:pPr>
              <w:ind w:left="-5" w:right="15" w:hanging="10"/>
            </w:pPr>
            <w:r w:rsidRPr="00812EED">
              <w:t>Exam</w:t>
            </w:r>
          </w:p>
        </w:tc>
      </w:tr>
      <w:tr w:rsidR="00A13F6B" w:rsidRPr="00812EED">
        <w:tc>
          <w:tcPr>
            <w:tcW w:w="2628" w:type="dxa"/>
            <w:vMerge/>
            <w:shd w:val="clear" w:color="auto" w:fill="auto"/>
          </w:tcPr>
          <w:p w:rsidR="00A13F6B" w:rsidRPr="00812EED" w:rsidRDefault="00A13F6B">
            <w:pPr>
              <w:widowControl w:val="0"/>
              <w:pBdr>
                <w:top w:val="nil"/>
                <w:left w:val="nil"/>
                <w:bottom w:val="nil"/>
                <w:right w:val="nil"/>
                <w:between w:val="nil"/>
              </w:pBdr>
              <w:spacing w:line="276" w:lineRule="auto"/>
            </w:pPr>
          </w:p>
        </w:tc>
        <w:tc>
          <w:tcPr>
            <w:tcW w:w="4050" w:type="dxa"/>
            <w:shd w:val="clear" w:color="auto" w:fill="auto"/>
          </w:tcPr>
          <w:p w:rsidR="00A13F6B" w:rsidRPr="00812EED" w:rsidRDefault="00B22E7A">
            <w:pPr>
              <w:ind w:left="-5" w:right="15" w:hanging="10"/>
              <w:rPr>
                <w:color w:val="000000"/>
              </w:rPr>
            </w:pPr>
            <w:r w:rsidRPr="00812EED">
              <w:rPr>
                <w:color w:val="000000"/>
              </w:rPr>
              <w:t>Students will explain the intra- and interpersonal skills needed to work effectively in human service organizations (K, C/AP)</w:t>
            </w:r>
          </w:p>
        </w:tc>
        <w:tc>
          <w:tcPr>
            <w:tcW w:w="2479" w:type="dxa"/>
            <w:shd w:val="clear" w:color="auto" w:fill="auto"/>
          </w:tcPr>
          <w:p w:rsidR="00A13F6B" w:rsidRPr="00812EED" w:rsidRDefault="00B22E7A">
            <w:pPr>
              <w:ind w:left="-5" w:right="15" w:hanging="10"/>
            </w:pPr>
            <w:r w:rsidRPr="00812EED">
              <w:t>Exam</w:t>
            </w:r>
          </w:p>
        </w:tc>
      </w:tr>
      <w:tr w:rsidR="00A13F6B" w:rsidRPr="00812EED">
        <w:tc>
          <w:tcPr>
            <w:tcW w:w="2628" w:type="dxa"/>
            <w:vMerge w:val="restart"/>
            <w:shd w:val="clear" w:color="auto" w:fill="auto"/>
          </w:tcPr>
          <w:p w:rsidR="00A13F6B" w:rsidRPr="00812EED" w:rsidRDefault="00B22E7A">
            <w:pPr>
              <w:ind w:left="-5" w:right="15" w:hanging="10"/>
              <w:rPr>
                <w:b/>
                <w:color w:val="000000"/>
              </w:rPr>
            </w:pPr>
            <w:r w:rsidRPr="00812EED">
              <w:rPr>
                <w:b/>
                <w:color w:val="000000"/>
              </w:rPr>
              <w:t>7. Assess individuals, families, and groups, organizations, and communities.</w:t>
            </w:r>
          </w:p>
        </w:tc>
        <w:tc>
          <w:tcPr>
            <w:tcW w:w="4050" w:type="dxa"/>
            <w:shd w:val="clear" w:color="auto" w:fill="auto"/>
          </w:tcPr>
          <w:p w:rsidR="00A13F6B" w:rsidRPr="00812EED" w:rsidRDefault="00B22E7A">
            <w:pPr>
              <w:ind w:left="-5" w:right="15" w:hanging="10"/>
              <w:rPr>
                <w:color w:val="000000"/>
              </w:rPr>
            </w:pPr>
            <w:r w:rsidRPr="00812EED">
              <w:rPr>
                <w:color w:val="000000"/>
              </w:rPr>
              <w:t>Students will assess a problem or challenge within an organization that diminishes the organization's ability to meet the needs of clients, including whether organizational practices perpetuate marginalization and/or oppression. (S, CP)</w:t>
            </w:r>
          </w:p>
        </w:tc>
        <w:tc>
          <w:tcPr>
            <w:tcW w:w="2479" w:type="dxa"/>
            <w:shd w:val="clear" w:color="auto" w:fill="auto"/>
          </w:tcPr>
          <w:p w:rsidR="00A13F6B" w:rsidRPr="00812EED" w:rsidRDefault="00B22E7A">
            <w:pPr>
              <w:ind w:left="-5" w:right="15" w:hanging="10"/>
            </w:pPr>
            <w:r w:rsidRPr="00812EED">
              <w:t>MOD Assignment</w:t>
            </w:r>
          </w:p>
        </w:tc>
      </w:tr>
      <w:tr w:rsidR="00A13F6B" w:rsidRPr="00812EED">
        <w:tc>
          <w:tcPr>
            <w:tcW w:w="2628" w:type="dxa"/>
            <w:vMerge/>
            <w:shd w:val="clear" w:color="auto" w:fill="auto"/>
          </w:tcPr>
          <w:p w:rsidR="00A13F6B" w:rsidRPr="00812EED" w:rsidRDefault="00A13F6B">
            <w:pPr>
              <w:widowControl w:val="0"/>
              <w:pBdr>
                <w:top w:val="nil"/>
                <w:left w:val="nil"/>
                <w:bottom w:val="nil"/>
                <w:right w:val="nil"/>
                <w:between w:val="nil"/>
              </w:pBdr>
              <w:spacing w:line="276" w:lineRule="auto"/>
            </w:pPr>
          </w:p>
        </w:tc>
        <w:tc>
          <w:tcPr>
            <w:tcW w:w="4050" w:type="dxa"/>
            <w:shd w:val="clear" w:color="auto" w:fill="auto"/>
          </w:tcPr>
          <w:p w:rsidR="00A13F6B" w:rsidRPr="00812EED" w:rsidRDefault="00B22E7A">
            <w:pPr>
              <w:ind w:left="-5" w:right="15" w:hanging="10"/>
              <w:rPr>
                <w:color w:val="000000"/>
              </w:rPr>
            </w:pPr>
            <w:r w:rsidRPr="00812EED">
              <w:rPr>
                <w:color w:val="000000"/>
              </w:rPr>
              <w:t>Students will articulate an understanding of inter-agency collaboration and systems of care (SoC) principles (K)</w:t>
            </w:r>
          </w:p>
        </w:tc>
        <w:tc>
          <w:tcPr>
            <w:tcW w:w="2479" w:type="dxa"/>
            <w:shd w:val="clear" w:color="auto" w:fill="auto"/>
          </w:tcPr>
          <w:p w:rsidR="00A13F6B" w:rsidRPr="00812EED" w:rsidRDefault="00B22E7A">
            <w:pPr>
              <w:ind w:left="-5" w:right="15" w:hanging="10"/>
            </w:pPr>
            <w:r w:rsidRPr="00812EED">
              <w:t>Exam</w:t>
            </w:r>
          </w:p>
        </w:tc>
      </w:tr>
      <w:tr w:rsidR="00A13F6B" w:rsidRPr="00812EED">
        <w:tc>
          <w:tcPr>
            <w:tcW w:w="2628" w:type="dxa"/>
            <w:vMerge w:val="restart"/>
            <w:shd w:val="clear" w:color="auto" w:fill="auto"/>
          </w:tcPr>
          <w:p w:rsidR="00A13F6B" w:rsidRPr="00812EED" w:rsidRDefault="00B22E7A">
            <w:pPr>
              <w:ind w:left="-5" w:right="15" w:hanging="10"/>
              <w:rPr>
                <w:b/>
                <w:color w:val="000000"/>
              </w:rPr>
            </w:pPr>
            <w:r w:rsidRPr="00812EED">
              <w:rPr>
                <w:b/>
                <w:color w:val="000000"/>
              </w:rPr>
              <w:t>8. Intervene with individuals, families, and groups, organizations, and communities.</w:t>
            </w:r>
          </w:p>
        </w:tc>
        <w:tc>
          <w:tcPr>
            <w:tcW w:w="4050" w:type="dxa"/>
            <w:shd w:val="clear" w:color="auto" w:fill="auto"/>
          </w:tcPr>
          <w:p w:rsidR="00A13F6B" w:rsidRPr="00812EED" w:rsidRDefault="00B22E7A">
            <w:pPr>
              <w:ind w:left="-5" w:right="15" w:hanging="10"/>
              <w:rPr>
                <w:color w:val="000000"/>
              </w:rPr>
            </w:pPr>
            <w:r w:rsidRPr="00812EED">
              <w:rPr>
                <w:color w:val="000000"/>
              </w:rPr>
              <w:t>Students will develop proposals for making organizational improvements and programs to better address the needs of clients and to mitigate or eliminate patterns or systems of marginalization and/or oppression. (S, CP)</w:t>
            </w:r>
          </w:p>
        </w:tc>
        <w:tc>
          <w:tcPr>
            <w:tcW w:w="2479" w:type="dxa"/>
            <w:shd w:val="clear" w:color="auto" w:fill="auto"/>
          </w:tcPr>
          <w:p w:rsidR="00A13F6B" w:rsidRPr="00812EED" w:rsidRDefault="00B22E7A">
            <w:pPr>
              <w:ind w:left="-5" w:right="15" w:hanging="10"/>
            </w:pPr>
            <w:r w:rsidRPr="00812EED">
              <w:t>MOD and PP Assignments</w:t>
            </w:r>
          </w:p>
        </w:tc>
      </w:tr>
      <w:tr w:rsidR="00A13F6B" w:rsidRPr="00812EED">
        <w:tc>
          <w:tcPr>
            <w:tcW w:w="2628" w:type="dxa"/>
            <w:vMerge/>
            <w:shd w:val="clear" w:color="auto" w:fill="auto"/>
          </w:tcPr>
          <w:p w:rsidR="00A13F6B" w:rsidRPr="00812EED" w:rsidRDefault="00A13F6B">
            <w:pPr>
              <w:widowControl w:val="0"/>
              <w:pBdr>
                <w:top w:val="nil"/>
                <w:left w:val="nil"/>
                <w:bottom w:val="nil"/>
                <w:right w:val="nil"/>
                <w:between w:val="nil"/>
              </w:pBdr>
              <w:spacing w:line="276" w:lineRule="auto"/>
            </w:pPr>
          </w:p>
        </w:tc>
        <w:tc>
          <w:tcPr>
            <w:tcW w:w="4050" w:type="dxa"/>
            <w:shd w:val="clear" w:color="auto" w:fill="auto"/>
          </w:tcPr>
          <w:p w:rsidR="00A13F6B" w:rsidRPr="00812EED" w:rsidRDefault="00B22E7A">
            <w:pPr>
              <w:ind w:left="-5" w:right="15" w:hanging="10"/>
              <w:rPr>
                <w:color w:val="000000"/>
              </w:rPr>
            </w:pPr>
            <w:r w:rsidRPr="00812EED">
              <w:rPr>
                <w:color w:val="000000"/>
              </w:rPr>
              <w:t xml:space="preserve">Students will articulate an understanding of inter-agency </w:t>
            </w:r>
            <w:r w:rsidRPr="00812EED">
              <w:rPr>
                <w:color w:val="000000"/>
              </w:rPr>
              <w:lastRenderedPageBreak/>
              <w:t>collaboration and systems of care (SoC) intervention strategies.</w:t>
            </w:r>
          </w:p>
        </w:tc>
        <w:tc>
          <w:tcPr>
            <w:tcW w:w="2479" w:type="dxa"/>
            <w:shd w:val="clear" w:color="auto" w:fill="auto"/>
          </w:tcPr>
          <w:p w:rsidR="00A13F6B" w:rsidRPr="00812EED" w:rsidRDefault="00B22E7A">
            <w:pPr>
              <w:ind w:left="-5" w:right="15" w:hanging="10"/>
            </w:pPr>
            <w:r w:rsidRPr="00812EED">
              <w:lastRenderedPageBreak/>
              <w:t>Exam</w:t>
            </w:r>
          </w:p>
        </w:tc>
      </w:tr>
      <w:tr w:rsidR="00A13F6B" w:rsidRPr="00812EED">
        <w:tc>
          <w:tcPr>
            <w:tcW w:w="2628" w:type="dxa"/>
            <w:tcBorders>
              <w:bottom w:val="single" w:sz="4" w:space="0" w:color="000000"/>
            </w:tcBorders>
            <w:shd w:val="clear" w:color="auto" w:fill="auto"/>
          </w:tcPr>
          <w:p w:rsidR="00A13F6B" w:rsidRPr="00812EED" w:rsidRDefault="00B22E7A">
            <w:pPr>
              <w:ind w:left="-5" w:right="15" w:hanging="10"/>
              <w:rPr>
                <w:b/>
                <w:color w:val="000000"/>
              </w:rPr>
            </w:pPr>
            <w:r w:rsidRPr="00812EED">
              <w:rPr>
                <w:b/>
                <w:color w:val="000000"/>
              </w:rPr>
              <w:t>9. Evaluate practice with individuals, families, and groups, organizations, and communities.</w:t>
            </w:r>
          </w:p>
        </w:tc>
        <w:tc>
          <w:tcPr>
            <w:tcW w:w="4050" w:type="dxa"/>
            <w:tcBorders>
              <w:bottom w:val="single" w:sz="4" w:space="0" w:color="000000"/>
            </w:tcBorders>
            <w:shd w:val="clear" w:color="auto" w:fill="auto"/>
          </w:tcPr>
          <w:p w:rsidR="00A13F6B" w:rsidRPr="00812EED" w:rsidRDefault="00B22E7A">
            <w:pPr>
              <w:ind w:left="-5" w:right="15" w:hanging="10"/>
              <w:rPr>
                <w:color w:val="000000"/>
              </w:rPr>
            </w:pPr>
            <w:r w:rsidRPr="00812EED">
              <w:rPr>
                <w:color w:val="000000"/>
              </w:rPr>
              <w:t>Students will articulate outcome objectives and ideas for measuring these outcomes in relation to proposed programs to better address the needs of clients. (S, CP)</w:t>
            </w:r>
          </w:p>
        </w:tc>
        <w:tc>
          <w:tcPr>
            <w:tcW w:w="2479" w:type="dxa"/>
            <w:tcBorders>
              <w:bottom w:val="single" w:sz="4" w:space="0" w:color="000000"/>
            </w:tcBorders>
            <w:shd w:val="clear" w:color="auto" w:fill="auto"/>
          </w:tcPr>
          <w:p w:rsidR="00A13F6B" w:rsidRPr="00812EED" w:rsidRDefault="00B22E7A">
            <w:pPr>
              <w:ind w:left="-5" w:right="15" w:hanging="10"/>
            </w:pPr>
            <w:r w:rsidRPr="00812EED">
              <w:t>PP Assignment</w:t>
            </w:r>
          </w:p>
        </w:tc>
      </w:tr>
    </w:tbl>
    <w:p w:rsidR="00A13F6B" w:rsidRPr="00812EED" w:rsidRDefault="00A13F6B">
      <w:pPr>
        <w:ind w:left="-5" w:right="15" w:hanging="10"/>
        <w:rPr>
          <w:b/>
          <w:color w:val="000000"/>
        </w:rPr>
      </w:pPr>
    </w:p>
    <w:p w:rsidR="00A13F6B" w:rsidRPr="00812EED" w:rsidRDefault="00B22E7A">
      <w:pPr>
        <w:ind w:left="-5" w:right="15" w:hanging="10"/>
        <w:rPr>
          <w:color w:val="000000"/>
        </w:rPr>
      </w:pPr>
      <w:r w:rsidRPr="00812EED">
        <w:rPr>
          <w:color w:val="000000"/>
        </w:rPr>
        <w:t>(EM) indicates this assignment is being used to assess student learning for this practice behavior as a part of the program’s overall curriculum assessment.</w:t>
      </w:r>
    </w:p>
    <w:p w:rsidR="00A13F6B" w:rsidRPr="00812EED" w:rsidRDefault="00A13F6B">
      <w:pPr>
        <w:rPr>
          <w:b/>
        </w:rPr>
      </w:pPr>
    </w:p>
    <w:p w:rsidR="00A13F6B" w:rsidRPr="00812EED" w:rsidRDefault="00B22E7A">
      <w:pPr>
        <w:rPr>
          <w:b/>
        </w:rPr>
      </w:pPr>
      <w:r w:rsidRPr="00812EED">
        <w:rPr>
          <w:b/>
        </w:rPr>
        <w:t>Teaching Methods for Achieving Learning Outcomes</w:t>
      </w:r>
    </w:p>
    <w:p w:rsidR="00A13F6B" w:rsidRPr="00812EED" w:rsidRDefault="00A13F6B">
      <w:pPr>
        <w:ind w:firstLine="720"/>
      </w:pPr>
    </w:p>
    <w:p w:rsidR="00A13F6B" w:rsidRPr="00812EED" w:rsidRDefault="00B22E7A">
      <w:pPr>
        <w:ind w:firstLine="720"/>
      </w:pPr>
      <w:r w:rsidRPr="00812EED">
        <w:t xml:space="preserve">A variety of instructional strategies will be used including interactive lectures, class discussion, case studies, in-class group exercises, student presentations, interactive polls, and brief videos. A team-based learning method will also be used. Each student will be randomly assigned to a team to answer questions about assigned readings and engage in small group learning exercises. </w:t>
      </w:r>
    </w:p>
    <w:p w:rsidR="00A13F6B" w:rsidRPr="00812EED" w:rsidRDefault="00A13F6B"/>
    <w:p w:rsidR="00A13F6B" w:rsidRPr="00812EED" w:rsidRDefault="00B22E7A">
      <w:pPr>
        <w:rPr>
          <w:b/>
        </w:rPr>
      </w:pPr>
      <w:r w:rsidRPr="00812EED">
        <w:rPr>
          <w:b/>
        </w:rPr>
        <w:t>Required Textbooks and Readings</w:t>
      </w:r>
    </w:p>
    <w:p w:rsidR="00A13F6B" w:rsidRPr="00812EED" w:rsidRDefault="00A13F6B">
      <w:pPr>
        <w:ind w:left="720" w:hanging="720"/>
      </w:pPr>
    </w:p>
    <w:p w:rsidR="00A13F6B" w:rsidRPr="00812EED" w:rsidRDefault="00B22E7A">
      <w:pPr>
        <w:ind w:left="720" w:hanging="720"/>
      </w:pPr>
      <w:r w:rsidRPr="00812EED">
        <w:t xml:space="preserve">Rofuth, T. W., &amp; Piepenbring, J. (2019). </w:t>
      </w:r>
      <w:r w:rsidRPr="00812EED">
        <w:rPr>
          <w:i/>
          <w:iCs/>
        </w:rPr>
        <w:t xml:space="preserve">Management and </w:t>
      </w:r>
      <w:r w:rsidR="00812EED">
        <w:rPr>
          <w:i/>
          <w:iCs/>
        </w:rPr>
        <w:t>l</w:t>
      </w:r>
      <w:r w:rsidRPr="00812EED">
        <w:rPr>
          <w:i/>
          <w:iCs/>
        </w:rPr>
        <w:t xml:space="preserve">eadership in </w:t>
      </w:r>
      <w:r w:rsidR="00812EED">
        <w:rPr>
          <w:i/>
          <w:iCs/>
        </w:rPr>
        <w:t>s</w:t>
      </w:r>
      <w:r w:rsidRPr="00812EED">
        <w:rPr>
          <w:i/>
          <w:iCs/>
        </w:rPr>
        <w:t xml:space="preserve">ocial </w:t>
      </w:r>
      <w:r w:rsidR="00812EED">
        <w:rPr>
          <w:i/>
          <w:iCs/>
        </w:rPr>
        <w:t>w</w:t>
      </w:r>
      <w:r w:rsidRPr="00812EED">
        <w:rPr>
          <w:i/>
          <w:iCs/>
        </w:rPr>
        <w:t xml:space="preserve">ork: A </w:t>
      </w:r>
      <w:r w:rsidR="00812EED">
        <w:rPr>
          <w:i/>
          <w:iCs/>
        </w:rPr>
        <w:t>c</w:t>
      </w:r>
      <w:r w:rsidRPr="00812EED">
        <w:rPr>
          <w:i/>
          <w:iCs/>
        </w:rPr>
        <w:t>ompetency-</w:t>
      </w:r>
      <w:r w:rsidR="00812EED">
        <w:rPr>
          <w:i/>
          <w:iCs/>
        </w:rPr>
        <w:t>b</w:t>
      </w:r>
      <w:r w:rsidRPr="00812EED">
        <w:rPr>
          <w:i/>
          <w:iCs/>
        </w:rPr>
        <w:t xml:space="preserve">ased </w:t>
      </w:r>
      <w:r w:rsidR="00812EED">
        <w:rPr>
          <w:i/>
          <w:iCs/>
        </w:rPr>
        <w:t>a</w:t>
      </w:r>
      <w:r w:rsidRPr="00812EED">
        <w:rPr>
          <w:i/>
          <w:iCs/>
        </w:rPr>
        <w:t>pproach.</w:t>
      </w:r>
      <w:r w:rsidRPr="00812EED">
        <w:t xml:space="preserve"> Springer Publishing Company.</w:t>
      </w:r>
      <w:r w:rsidR="00812EED">
        <w:t xml:space="preserve"> (available for free</w:t>
      </w:r>
      <w:r w:rsidR="00CB3E7A">
        <w:t xml:space="preserve"> in electronic form</w:t>
      </w:r>
      <w:r w:rsidR="00812EED">
        <w:t xml:space="preserve"> via UNCG Library</w:t>
      </w:r>
      <w:r w:rsidR="00CB3E7A">
        <w:t>)</w:t>
      </w:r>
    </w:p>
    <w:p w:rsidR="00A13F6B" w:rsidRPr="00812EED" w:rsidRDefault="00A13F6B">
      <w:pPr>
        <w:rPr>
          <w:b/>
          <w:i/>
        </w:rPr>
      </w:pPr>
    </w:p>
    <w:p w:rsidR="00A13F6B" w:rsidRPr="00812EED" w:rsidRDefault="00B22E7A">
      <w:pPr>
        <w:rPr>
          <w:b/>
          <w:i/>
        </w:rPr>
      </w:pPr>
      <w:r w:rsidRPr="00812EED">
        <w:rPr>
          <w:b/>
          <w:i/>
        </w:rPr>
        <w:t>Required Readings:</w:t>
      </w:r>
    </w:p>
    <w:p w:rsidR="00A13F6B" w:rsidRPr="00812EED" w:rsidRDefault="00B22E7A">
      <w:pPr>
        <w:ind w:left="720" w:hanging="720"/>
      </w:pPr>
      <w:r w:rsidRPr="00812EED">
        <w:t>Barsky, A. (2012). Social workers in court</w:t>
      </w:r>
      <w:r w:rsidRPr="00812EED">
        <w:rPr>
          <w:i/>
        </w:rPr>
        <w:t>.</w:t>
      </w:r>
      <w:r w:rsidRPr="00812EED">
        <w:t xml:space="preserve"> [Podcast].</w:t>
      </w:r>
      <w:r w:rsidRPr="00812EED">
        <w:rPr>
          <w:i/>
        </w:rPr>
        <w:t xml:space="preserve"> </w:t>
      </w:r>
      <w:r w:rsidRPr="00812EED">
        <w:t>Retrieved from</w:t>
      </w:r>
    </w:p>
    <w:p w:rsidR="00A13F6B" w:rsidRPr="00812EED" w:rsidRDefault="003C76E0">
      <w:pPr>
        <w:ind w:left="720"/>
        <w:rPr>
          <w:color w:val="0000FF"/>
          <w:u w:val="single"/>
        </w:rPr>
      </w:pPr>
      <w:hyperlink r:id="rId10">
        <w:r w:rsidR="00B22E7A" w:rsidRPr="00812EED">
          <w:rPr>
            <w:color w:val="0000FF"/>
            <w:u w:val="single"/>
          </w:rPr>
          <w:t>http://socialworkpodcast.blogspot.com/2012/12/social-workers-in-court-interview-with.html</w:t>
        </w:r>
      </w:hyperlink>
    </w:p>
    <w:p w:rsidR="00A13F6B" w:rsidRPr="00812EED" w:rsidRDefault="00B22E7A">
      <w:pPr>
        <w:ind w:left="720" w:hanging="720"/>
      </w:pPr>
      <w:proofErr w:type="spellStart"/>
      <w:r w:rsidRPr="00812EED">
        <w:t>Bordas</w:t>
      </w:r>
      <w:proofErr w:type="spellEnd"/>
      <w:r w:rsidRPr="00812EED">
        <w:t xml:space="preserve">, J. (2016). Leadership lessons from communities of color: Stewardship and collective action. </w:t>
      </w:r>
      <w:r w:rsidRPr="00812EED">
        <w:rPr>
          <w:i/>
        </w:rPr>
        <w:t xml:space="preserve">New Directions for Student Leadership, </w:t>
      </w:r>
      <w:r w:rsidRPr="00812EED">
        <w:t>152, 61-74</w:t>
      </w:r>
      <w:r w:rsidR="00AC4DB9">
        <w:t>.</w:t>
      </w:r>
    </w:p>
    <w:p w:rsidR="002631DF" w:rsidRPr="00812EED" w:rsidRDefault="002631DF" w:rsidP="002631DF">
      <w:pPr>
        <w:ind w:left="720" w:hanging="720"/>
      </w:pPr>
      <w:r w:rsidRPr="00812EED">
        <w:rPr>
          <w:rFonts w:cs="Arial"/>
          <w:shd w:val="clear" w:color="auto" w:fill="FFFFFF"/>
        </w:rPr>
        <w:t>Brown, T., &amp; Wyatt, J. (2010). Design thinking for social innovation.</w:t>
      </w:r>
      <w:r w:rsidRPr="00812EED">
        <w:rPr>
          <w:i/>
        </w:rPr>
        <w:t xml:space="preserve"> Stanford Social Innovation Review, Winter, </w:t>
      </w:r>
      <w:r w:rsidRPr="00812EED">
        <w:t>31-35.</w:t>
      </w:r>
    </w:p>
    <w:p w:rsidR="00AC4DB9" w:rsidRDefault="00B22E7A" w:rsidP="00AC4DB9">
      <w:pPr>
        <w:spacing w:line="276" w:lineRule="auto"/>
        <w:ind w:left="720" w:hanging="720"/>
      </w:pPr>
      <w:r w:rsidRPr="00812EED">
        <w:t xml:space="preserve">Building Movement Project (n.d.). </w:t>
      </w:r>
      <w:r w:rsidRPr="00AC4DB9">
        <w:rPr>
          <w:i/>
          <w:iCs/>
        </w:rPr>
        <w:t>Case study: Bread for the City.</w:t>
      </w:r>
      <w:r w:rsidR="00AC4DB9">
        <w:t xml:space="preserve"> </w:t>
      </w:r>
      <w:hyperlink r:id="rId11" w:history="1">
        <w:r w:rsidRPr="00812EED">
          <w:t>http://www.buildingmovement.org/artman/uploads/making_social_change_-_bread_for_the_city.pdf</w:t>
        </w:r>
      </w:hyperlink>
    </w:p>
    <w:p w:rsidR="00A13F6B" w:rsidRPr="00812EED" w:rsidRDefault="00B22E7A" w:rsidP="00AC4DB9">
      <w:pPr>
        <w:spacing w:line="276" w:lineRule="auto"/>
        <w:ind w:left="720" w:hanging="720"/>
      </w:pPr>
      <w:r w:rsidRPr="00812EED">
        <w:t xml:space="preserve">Craig, S. L. (2011). Precarious partnerships: Designing a community needs assessment to develop a system of care for gay, lesbian, bisexual, transgender, and questioning (GLBTQ) youths. </w:t>
      </w:r>
      <w:r w:rsidRPr="00AC4DB9">
        <w:rPr>
          <w:i/>
          <w:iCs/>
        </w:rPr>
        <w:t>Journal of Community Practice, 19</w:t>
      </w:r>
      <w:r w:rsidRPr="00812EED">
        <w:t>(3), 274-291.</w:t>
      </w:r>
    </w:p>
    <w:p w:rsidR="00A13F6B" w:rsidRPr="00812EED" w:rsidRDefault="00B22E7A">
      <w:pPr>
        <w:ind w:left="720" w:hanging="720"/>
      </w:pPr>
      <w:r w:rsidRPr="00812EED">
        <w:t>Despard, M.</w:t>
      </w:r>
      <w:r w:rsidRPr="00812EED">
        <w:rPr>
          <w:b/>
        </w:rPr>
        <w:t xml:space="preserve"> </w:t>
      </w:r>
      <w:r w:rsidRPr="00812EED">
        <w:t xml:space="preserve">(2016). Challenges in implementing evidence-based practices and programs in nonprofit human service organizations. </w:t>
      </w:r>
      <w:r w:rsidRPr="00812EED">
        <w:rPr>
          <w:i/>
        </w:rPr>
        <w:t xml:space="preserve">Journal of Evidence-Informed Social Work, 13, </w:t>
      </w:r>
      <w:r w:rsidRPr="00812EED">
        <w:t xml:space="preserve">505-522. http://dx.doi.org/10.1080/23761407.2015.1086719 </w:t>
      </w:r>
    </w:p>
    <w:p w:rsidR="00A13F6B" w:rsidRPr="00812EED" w:rsidRDefault="00B22E7A">
      <w:pPr>
        <w:ind w:left="720" w:hanging="720"/>
      </w:pPr>
      <w:r w:rsidRPr="00812EED">
        <w:t>Esaki, N. (2019). Trauma-responsive organizational cultures: How safe and supported do employees feel?. </w:t>
      </w:r>
      <w:r w:rsidRPr="00812EED">
        <w:rPr>
          <w:i/>
        </w:rPr>
        <w:t>Human Service Organizations: Management, Leadership &amp; Governance</w:t>
      </w:r>
      <w:r w:rsidRPr="00812EED">
        <w:t>, 1-8.</w:t>
      </w:r>
    </w:p>
    <w:p w:rsidR="002C1F39" w:rsidRPr="002C1F39" w:rsidRDefault="002C1F39">
      <w:pPr>
        <w:ind w:left="720" w:hanging="720"/>
        <w:rPr>
          <w:i/>
          <w:iCs/>
        </w:rPr>
      </w:pPr>
      <w:r>
        <w:lastRenderedPageBreak/>
        <w:t xml:space="preserve">Furman, R., </w:t>
      </w:r>
      <w:proofErr w:type="spellStart"/>
      <w:r>
        <w:t>Gibelman</w:t>
      </w:r>
      <w:proofErr w:type="spellEnd"/>
      <w:r>
        <w:t xml:space="preserve">, M., &amp; </w:t>
      </w:r>
      <w:proofErr w:type="spellStart"/>
      <w:r>
        <w:t>Winnett</w:t>
      </w:r>
      <w:proofErr w:type="spellEnd"/>
      <w:r>
        <w:t xml:space="preserve">, R. (2020). Getting to know the human service organization. In </w:t>
      </w:r>
      <w:r>
        <w:rPr>
          <w:i/>
          <w:iCs/>
        </w:rPr>
        <w:t>Navigating human service organizations: Essential information for thriving and surviving in agencies</w:t>
      </w:r>
      <w:r>
        <w:t xml:space="preserve"> (pp. 1-</w:t>
      </w:r>
      <w:r w:rsidR="000D0AE3">
        <w:t>23</w:t>
      </w:r>
      <w:r>
        <w:t>).</w:t>
      </w:r>
      <w:r>
        <w:rPr>
          <w:i/>
          <w:iCs/>
        </w:rPr>
        <w:t xml:space="preserve"> </w:t>
      </w:r>
    </w:p>
    <w:p w:rsidR="00425A44" w:rsidRPr="00812EED" w:rsidRDefault="00425A44">
      <w:pPr>
        <w:ind w:left="720" w:hanging="720"/>
      </w:pPr>
      <w:r w:rsidRPr="00812EED">
        <w:t xml:space="preserve">Gates, T. G. (2015). How heterosexist are health and human services organizations?: An exploratory study of tolerance in Western New York. </w:t>
      </w:r>
      <w:r w:rsidRPr="00AC4DB9">
        <w:rPr>
          <w:i/>
          <w:iCs/>
        </w:rPr>
        <w:t>Human Service Organizations: Management, Leadership &amp; Governance, 39</w:t>
      </w:r>
      <w:r w:rsidRPr="00812EED">
        <w:t>(2), 116-124.</w:t>
      </w:r>
    </w:p>
    <w:p w:rsidR="00A13F6B" w:rsidRPr="00812EED" w:rsidRDefault="00B22E7A">
      <w:pPr>
        <w:ind w:left="720" w:hanging="720"/>
      </w:pPr>
      <w:r w:rsidRPr="00812EED">
        <w:t xml:space="preserve">Greene, M. P. (2010). Effective leadership in social service organizations: Combining management and clinical perspectives [Blog post]. Retrieved from </w:t>
      </w:r>
      <w:hyperlink r:id="rId12">
        <w:r w:rsidRPr="00812EED">
          <w:rPr>
            <w:color w:val="0000FF"/>
            <w:u w:val="single"/>
          </w:rPr>
          <w:t>https://www.naswnyc.org/page/233/Effective-Leadership-in-Social-Service-Organizations.htm</w:t>
        </w:r>
      </w:hyperlink>
    </w:p>
    <w:p w:rsidR="00A13F6B" w:rsidRPr="00812EED" w:rsidRDefault="00B22E7A">
      <w:pPr>
        <w:ind w:left="720" w:hanging="720"/>
      </w:pPr>
      <w:r w:rsidRPr="00812EED">
        <w:t>Hanks, J. (2016). Private practice for social workers: Interview with Dr. Julie Hanks, LCSW</w:t>
      </w:r>
      <w:r w:rsidRPr="00812EED">
        <w:rPr>
          <w:i/>
        </w:rPr>
        <w:t>.</w:t>
      </w:r>
      <w:r w:rsidRPr="00812EED">
        <w:t xml:space="preserve"> [Podcast].</w:t>
      </w:r>
      <w:r w:rsidRPr="00812EED">
        <w:rPr>
          <w:i/>
        </w:rPr>
        <w:t xml:space="preserve"> </w:t>
      </w:r>
      <w:r w:rsidRPr="00812EED">
        <w:t xml:space="preserve">Retrieved from </w:t>
      </w:r>
      <w:hyperlink r:id="rId13">
        <w:r w:rsidRPr="00812EED">
          <w:rPr>
            <w:color w:val="0000FF"/>
            <w:u w:val="single"/>
          </w:rPr>
          <w:t>http://socialworkpodcast.blogspot.com/2016/01/JulieHanks.html</w:t>
        </w:r>
      </w:hyperlink>
    </w:p>
    <w:p w:rsidR="00A13F6B" w:rsidRPr="00812EED" w:rsidRDefault="00B22E7A">
      <w:pPr>
        <w:ind w:left="720" w:hanging="720"/>
      </w:pPr>
      <w:r w:rsidRPr="00812EED">
        <w:t xml:space="preserve">James, J., Green, D., Rodriguez, C., &amp; Fong, R. (2008). Addressing disproportionality through undoing racism, leadership development, and community engagement. </w:t>
      </w:r>
      <w:r w:rsidRPr="00AC4DB9">
        <w:rPr>
          <w:i/>
          <w:iCs/>
        </w:rPr>
        <w:t>Child Welfare, 87</w:t>
      </w:r>
      <w:r w:rsidRPr="00812EED">
        <w:t>(2), 279-296.</w:t>
      </w:r>
    </w:p>
    <w:p w:rsidR="00A13F6B" w:rsidRPr="00812EED" w:rsidRDefault="00B22E7A">
      <w:pPr>
        <w:ind w:left="720" w:hanging="720"/>
      </w:pPr>
      <w:r w:rsidRPr="00812EED">
        <w:t xml:space="preserve">Lerner, J. E., &amp; Robles, G. (2016). The need for social work advocacy to create social justice for transgender people: A call to action. </w:t>
      </w:r>
      <w:r w:rsidRPr="00AC4DB9">
        <w:rPr>
          <w:i/>
          <w:iCs/>
        </w:rPr>
        <w:t>J</w:t>
      </w:r>
      <w:r w:rsidR="00AC4DB9" w:rsidRPr="00AC4DB9">
        <w:rPr>
          <w:i/>
          <w:iCs/>
        </w:rPr>
        <w:t>ournal of Sociology and Social Welfare</w:t>
      </w:r>
      <w:r w:rsidRPr="00AC4DB9">
        <w:rPr>
          <w:i/>
          <w:iCs/>
        </w:rPr>
        <w:t>, 43,</w:t>
      </w:r>
      <w:r w:rsidRPr="00812EED">
        <w:t xml:space="preserve"> 3.</w:t>
      </w:r>
    </w:p>
    <w:p w:rsidR="00A13F6B" w:rsidRPr="00812EED" w:rsidRDefault="00B22E7A">
      <w:pPr>
        <w:ind w:left="720" w:hanging="720"/>
      </w:pPr>
      <w:r w:rsidRPr="00812EED">
        <w:t>Lusk, M., Terrazas, S., &amp; Salcido, R. (2017). Critical cultural competence in social work supervision. </w:t>
      </w:r>
      <w:r w:rsidRPr="00812EED">
        <w:rPr>
          <w:i/>
        </w:rPr>
        <w:t>Human Service Organizations: Management, Leadership &amp; Governance</w:t>
      </w:r>
      <w:r w:rsidRPr="00812EED">
        <w:t>, </w:t>
      </w:r>
      <w:r w:rsidRPr="00812EED">
        <w:rPr>
          <w:i/>
        </w:rPr>
        <w:t>41</w:t>
      </w:r>
      <w:r w:rsidRPr="00812EED">
        <w:t>(5), 464-476.</w:t>
      </w:r>
    </w:p>
    <w:p w:rsidR="00A13F6B" w:rsidRPr="00812EED" w:rsidRDefault="00B22E7A">
      <w:pPr>
        <w:ind w:left="720" w:hanging="720"/>
      </w:pPr>
      <w:r w:rsidRPr="00812EED">
        <w:t xml:space="preserve">Martinez, P. (2020). What every leader needs to know. [Blog post]. W. K. Kellogg Foundation Community Leadership Network. Retrieved from </w:t>
      </w:r>
      <w:hyperlink r:id="rId14">
        <w:r w:rsidRPr="00812EED">
          <w:rPr>
            <w:color w:val="0000FF"/>
            <w:u w:val="single"/>
          </w:rPr>
          <w:t>http://wkkfcln.org/trust-paul-martinez/</w:t>
        </w:r>
      </w:hyperlink>
    </w:p>
    <w:p w:rsidR="00765A1F" w:rsidRPr="00812EED" w:rsidRDefault="00765A1F">
      <w:pPr>
        <w:ind w:left="720" w:hanging="720"/>
      </w:pPr>
      <w:proofErr w:type="spellStart"/>
      <w:r w:rsidRPr="00812EED">
        <w:t>Maschi</w:t>
      </w:r>
      <w:proofErr w:type="spellEnd"/>
      <w:r w:rsidRPr="00812EED">
        <w:t xml:space="preserve">, T., &amp; Jade de Saussure. (2016). Program and grant development: A social justice approach. In E. P. Congress, Luks, A., &amp; Petit, F. (Eds.), </w:t>
      </w:r>
      <w:r w:rsidRPr="00812EED">
        <w:rPr>
          <w:i/>
          <w:iCs/>
        </w:rPr>
        <w:t>Nonprofit management: A social justice approach.</w:t>
      </w:r>
      <w:r w:rsidRPr="00812EED">
        <w:t xml:space="preserve"> Springer.</w:t>
      </w:r>
    </w:p>
    <w:p w:rsidR="00A13F6B" w:rsidRPr="00812EED" w:rsidRDefault="00B22E7A">
      <w:pPr>
        <w:ind w:left="720" w:hanging="720"/>
      </w:pPr>
      <w:r w:rsidRPr="00812EED">
        <w:t xml:space="preserve">National Association of Social Workers. (2018). </w:t>
      </w:r>
      <w:r w:rsidRPr="00812EED">
        <w:rPr>
          <w:i/>
        </w:rPr>
        <w:t>Code of ethics</w:t>
      </w:r>
      <w:r w:rsidRPr="00812EED">
        <w:t>. Washington, DC: Author.</w:t>
      </w:r>
    </w:p>
    <w:p w:rsidR="00A13F6B" w:rsidRPr="00812EED" w:rsidRDefault="00B22E7A">
      <w:pPr>
        <w:ind w:left="720" w:hanging="720"/>
      </w:pPr>
      <w:r w:rsidRPr="00812EED">
        <w:t xml:space="preserve">National Association of Social Workers. (2013). </w:t>
      </w:r>
      <w:r w:rsidRPr="00812EED">
        <w:rPr>
          <w:i/>
        </w:rPr>
        <w:t>Ten start up tips for a private practice</w:t>
      </w:r>
      <w:r w:rsidRPr="00812EED">
        <w:t>.</w:t>
      </w:r>
    </w:p>
    <w:p w:rsidR="00A13F6B" w:rsidRPr="00812EED" w:rsidRDefault="00B22E7A">
      <w:pPr>
        <w:ind w:left="720"/>
      </w:pPr>
      <w:r w:rsidRPr="00812EED">
        <w:t xml:space="preserve">Washington, DC: Author. Retrieved from  </w:t>
      </w:r>
      <w:hyperlink r:id="rId15">
        <w:r w:rsidRPr="00812EED">
          <w:rPr>
            <w:color w:val="0000FF"/>
            <w:u w:val="single"/>
          </w:rPr>
          <w:t>https://www.socialworkers.org/assets/secured/documents/practice/privatepracticestartuptips.pdf</w:t>
        </w:r>
      </w:hyperlink>
    </w:p>
    <w:p w:rsidR="00A13F6B" w:rsidRPr="00812EED" w:rsidRDefault="00B22E7A" w:rsidP="00AC4DB9">
      <w:pPr>
        <w:ind w:left="720" w:hanging="720"/>
      </w:pPr>
      <w:r w:rsidRPr="00812EED">
        <w:t>National Council of Nonprofits. (2020). Why diversity, equity, and inclusion matter for nonprofits. https://www.councilofnonprofits.org/tools-resources/why-diversity-equity-and-inclusion-matter-nonprofits</w:t>
      </w:r>
    </w:p>
    <w:p w:rsidR="00A13F6B" w:rsidRPr="00812EED" w:rsidRDefault="00B22E7A">
      <w:pPr>
        <w:tabs>
          <w:tab w:val="left" w:pos="-720"/>
        </w:tabs>
        <w:ind w:left="810" w:hanging="810"/>
      </w:pPr>
      <w:proofErr w:type="spellStart"/>
      <w:r w:rsidRPr="00812EED">
        <w:t>ProInspire</w:t>
      </w:r>
      <w:proofErr w:type="spellEnd"/>
      <w:r w:rsidRPr="00812EED">
        <w:t xml:space="preserve">. (2018). </w:t>
      </w:r>
      <w:r w:rsidRPr="00812EED">
        <w:rPr>
          <w:i/>
        </w:rPr>
        <w:t>Awake to woke to work: Building a race equity culture.</w:t>
      </w:r>
      <w:r w:rsidRPr="00812EED">
        <w:t xml:space="preserve"> Retrieved from </w:t>
      </w:r>
      <w:hyperlink r:id="rId16">
        <w:r w:rsidRPr="00812EED">
          <w:rPr>
            <w:color w:val="0000FF"/>
            <w:u w:val="single"/>
          </w:rPr>
          <w:t>https://www.equityinthecenter.org/wp-content/uploads/2019/04/Equity-in-Center-Awake-Woke-Work-2019-final-1.pdf</w:t>
        </w:r>
      </w:hyperlink>
      <w:r w:rsidRPr="00812EED">
        <w:t xml:space="preserve"> (Read pp. 9-22).</w:t>
      </w:r>
    </w:p>
    <w:p w:rsidR="00A13F6B" w:rsidRPr="00812EED" w:rsidRDefault="00B22E7A">
      <w:pPr>
        <w:tabs>
          <w:tab w:val="left" w:pos="-720"/>
        </w:tabs>
        <w:ind w:left="810" w:hanging="810"/>
      </w:pPr>
      <w:r w:rsidRPr="00812EED">
        <w:t xml:space="preserve">Rodriguez, J. K., </w:t>
      </w:r>
      <w:proofErr w:type="spellStart"/>
      <w:r w:rsidRPr="00812EED">
        <w:t>Holvino</w:t>
      </w:r>
      <w:proofErr w:type="spellEnd"/>
      <w:r w:rsidRPr="00812EED">
        <w:t xml:space="preserve">, E., Fletcher, J. K., &amp; Nkomo, S. M. (2016). The theory and praxis of intersectionality in work and </w:t>
      </w:r>
      <w:proofErr w:type="spellStart"/>
      <w:r w:rsidRPr="00812EED">
        <w:t>organisations</w:t>
      </w:r>
      <w:proofErr w:type="spellEnd"/>
      <w:r w:rsidRPr="00812EED">
        <w:t xml:space="preserve">: Where do we go from here?. </w:t>
      </w:r>
      <w:r w:rsidRPr="00AC4DB9">
        <w:rPr>
          <w:i/>
          <w:iCs/>
        </w:rPr>
        <w:t>Gender, Work and Organization, 23</w:t>
      </w:r>
      <w:r w:rsidRPr="00812EED">
        <w:t>(3), 201-222.</w:t>
      </w:r>
    </w:p>
    <w:p w:rsidR="00425A44" w:rsidRPr="00812EED" w:rsidRDefault="00425A44">
      <w:pPr>
        <w:ind w:left="720" w:hanging="720"/>
      </w:pPr>
      <w:r w:rsidRPr="00812EED">
        <w:t xml:space="preserve">Walter, A. W., Ruiz, Y., </w:t>
      </w:r>
      <w:proofErr w:type="spellStart"/>
      <w:r w:rsidRPr="00812EED">
        <w:t>Tourse</w:t>
      </w:r>
      <w:proofErr w:type="spellEnd"/>
      <w:r w:rsidRPr="00812EED">
        <w:t xml:space="preserve">, R. W. C., Kress, H., Morningstar, B., MacArthur, B., &amp; Daniels, A. (2017). Leadership matters: How hidden biases perpetuate institutional racism in organizations. </w:t>
      </w:r>
      <w:r w:rsidRPr="00AC4DB9">
        <w:rPr>
          <w:i/>
          <w:iCs/>
        </w:rPr>
        <w:t>Human Service Organizations: Management, Leadership &amp; Governance, 41</w:t>
      </w:r>
      <w:r w:rsidRPr="00812EED">
        <w:t>(3), 213-221.</w:t>
      </w:r>
    </w:p>
    <w:p w:rsidR="00A13F6B" w:rsidRPr="00812EED" w:rsidRDefault="00B22E7A">
      <w:pPr>
        <w:ind w:left="720" w:hanging="720"/>
      </w:pPr>
      <w:r w:rsidRPr="00812EED">
        <w:t>Wike, T. L., Bledsoe-</w:t>
      </w:r>
      <w:proofErr w:type="spellStart"/>
      <w:r w:rsidRPr="00812EED">
        <w:t>Mansori</w:t>
      </w:r>
      <w:proofErr w:type="spellEnd"/>
      <w:r w:rsidRPr="00812EED">
        <w:t>, S. E., Manuel, J. I., Despard, M.,</w:t>
      </w:r>
      <w:r w:rsidRPr="00812EED">
        <w:rPr>
          <w:b/>
        </w:rPr>
        <w:t xml:space="preserve"> </w:t>
      </w:r>
      <w:r w:rsidRPr="00812EED">
        <w:t xml:space="preserve">Johnson, L. V., Bellamy, J. L., &amp; Killian-Ferrell, C. (2014). Evidence-based practice in social work: Challenges and </w:t>
      </w:r>
      <w:r w:rsidRPr="00812EED">
        <w:lastRenderedPageBreak/>
        <w:t xml:space="preserve">opportunities for clinicians. </w:t>
      </w:r>
      <w:r w:rsidRPr="00812EED">
        <w:rPr>
          <w:i/>
        </w:rPr>
        <w:t>Clinical Social Work Journal, 42</w:t>
      </w:r>
      <w:r w:rsidRPr="00812EED">
        <w:t>(2), 161-170</w:t>
      </w:r>
      <w:r w:rsidRPr="00812EED">
        <w:rPr>
          <w:i/>
        </w:rPr>
        <w:t xml:space="preserve">. </w:t>
      </w:r>
      <w:r w:rsidRPr="00812EED">
        <w:t xml:space="preserve">doi:10.1007/s10615-014-0492-3 </w:t>
      </w:r>
    </w:p>
    <w:p w:rsidR="00A13F6B" w:rsidRPr="00812EED" w:rsidRDefault="00A13F6B"/>
    <w:p w:rsidR="00A13F6B" w:rsidRPr="00812EED" w:rsidRDefault="00B22E7A">
      <w:pPr>
        <w:ind w:firstLine="720"/>
      </w:pPr>
      <w:r w:rsidRPr="00812EED">
        <w:t xml:space="preserve">Students are encouraged to purchase the </w:t>
      </w:r>
      <w:r w:rsidRPr="00812EED">
        <w:rPr>
          <w:i/>
        </w:rPr>
        <w:t>Publication Manual of the American Psychological</w:t>
      </w:r>
      <w:r w:rsidRPr="00812EED">
        <w:rPr>
          <w:u w:val="single"/>
        </w:rPr>
        <w:t xml:space="preserve"> </w:t>
      </w:r>
      <w:r w:rsidRPr="00812EED">
        <w:rPr>
          <w:i/>
        </w:rPr>
        <w:t>Association</w:t>
      </w:r>
      <w:r w:rsidRPr="00812EED">
        <w:t xml:space="preserve"> (6</w:t>
      </w:r>
      <w:r w:rsidRPr="00812EED">
        <w:rPr>
          <w:vertAlign w:val="superscript"/>
        </w:rPr>
        <w:t>th</w:t>
      </w:r>
      <w:r w:rsidRPr="00812EED">
        <w:t xml:space="preserve"> ed.), as this and other courses will require use of APA style in written assignments.  The following websites will also be useful:</w:t>
      </w:r>
    </w:p>
    <w:p w:rsidR="00A13F6B" w:rsidRPr="00812EED" w:rsidRDefault="00A13F6B">
      <w:pPr>
        <w:ind w:firstLine="360"/>
      </w:pPr>
    </w:p>
    <w:p w:rsidR="00A13F6B" w:rsidRPr="00812EED" w:rsidRDefault="003C76E0">
      <w:pPr>
        <w:numPr>
          <w:ilvl w:val="0"/>
          <w:numId w:val="12"/>
        </w:numPr>
        <w:jc w:val="both"/>
        <w:rPr>
          <w:i/>
        </w:rPr>
      </w:pPr>
      <w:hyperlink r:id="rId17">
        <w:r w:rsidR="00B22E7A" w:rsidRPr="00812EED">
          <w:rPr>
            <w:i/>
            <w:color w:val="0000FF"/>
            <w:u w:val="single"/>
          </w:rPr>
          <w:t>https://socialwork.columbia.edu/wp-content/uploads/2015/06/2013-10-02-APA-Style-Rules-And-Tips-hand-out_3Oct2013.pdf</w:t>
        </w:r>
      </w:hyperlink>
    </w:p>
    <w:p w:rsidR="00A13F6B" w:rsidRPr="00812EED" w:rsidRDefault="003C76E0">
      <w:pPr>
        <w:numPr>
          <w:ilvl w:val="0"/>
          <w:numId w:val="12"/>
        </w:numPr>
        <w:jc w:val="both"/>
        <w:rPr>
          <w:i/>
        </w:rPr>
      </w:pPr>
      <w:hyperlink r:id="rId18">
        <w:r w:rsidR="00B22E7A" w:rsidRPr="00812EED">
          <w:rPr>
            <w:i/>
            <w:color w:val="0000FF"/>
            <w:u w:val="single"/>
          </w:rPr>
          <w:t>https://owl.english.purdue.edu/owl/resource/560/01/</w:t>
        </w:r>
      </w:hyperlink>
      <w:r w:rsidR="00B22E7A" w:rsidRPr="00812EED">
        <w:rPr>
          <w:i/>
        </w:rPr>
        <w:t xml:space="preserve"> </w:t>
      </w:r>
    </w:p>
    <w:p w:rsidR="00A13F6B" w:rsidRPr="00812EED" w:rsidRDefault="003C76E0">
      <w:pPr>
        <w:numPr>
          <w:ilvl w:val="0"/>
          <w:numId w:val="12"/>
        </w:numPr>
        <w:jc w:val="both"/>
        <w:rPr>
          <w:i/>
        </w:rPr>
      </w:pPr>
      <w:hyperlink r:id="rId19">
        <w:r w:rsidR="00B22E7A" w:rsidRPr="00812EED">
          <w:rPr>
            <w:i/>
            <w:color w:val="0000FF"/>
            <w:u w:val="single"/>
          </w:rPr>
          <w:t>http://www.apastyle.org/</w:t>
        </w:r>
      </w:hyperlink>
      <w:r w:rsidR="00B22E7A" w:rsidRPr="00812EED">
        <w:rPr>
          <w:i/>
        </w:rPr>
        <w:t xml:space="preserve"> </w:t>
      </w:r>
    </w:p>
    <w:p w:rsidR="00A13F6B" w:rsidRPr="00812EED" w:rsidRDefault="00A13F6B">
      <w:pPr>
        <w:rPr>
          <w:b/>
        </w:rPr>
      </w:pPr>
    </w:p>
    <w:p w:rsidR="00A13F6B" w:rsidRPr="00812EED" w:rsidRDefault="00B22E7A">
      <w:pPr>
        <w:rPr>
          <w:b/>
        </w:rPr>
      </w:pPr>
      <w:r w:rsidRPr="00812EED">
        <w:rPr>
          <w:b/>
        </w:rPr>
        <w:t>Course Outline/Calendar</w:t>
      </w:r>
    </w:p>
    <w:p w:rsidR="00A13F6B" w:rsidRPr="00812EED" w:rsidRDefault="00A13F6B"/>
    <w:tbl>
      <w:tblPr>
        <w:tblStyle w:val="a1"/>
        <w:tblW w:w="9620" w:type="dxa"/>
        <w:tblBorders>
          <w:top w:val="nil"/>
          <w:left w:val="nil"/>
          <w:bottom w:val="nil"/>
          <w:right w:val="nil"/>
          <w:insideH w:val="nil"/>
          <w:insideV w:val="nil"/>
        </w:tblBorders>
        <w:tblLayout w:type="fixed"/>
        <w:tblLook w:val="0600" w:firstRow="0" w:lastRow="0" w:firstColumn="0" w:lastColumn="0" w:noHBand="1" w:noVBand="1"/>
      </w:tblPr>
      <w:tblGrid>
        <w:gridCol w:w="1070"/>
        <w:gridCol w:w="6080"/>
        <w:gridCol w:w="2470"/>
      </w:tblGrid>
      <w:tr w:rsidR="00A13F6B" w:rsidRPr="00812EED" w:rsidTr="00291480">
        <w:trPr>
          <w:trHeight w:val="447"/>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3F6B" w:rsidRPr="00812EED" w:rsidRDefault="00B22E7A" w:rsidP="008B0CA0">
            <w:pPr>
              <w:rPr>
                <w:b/>
              </w:rPr>
            </w:pPr>
            <w:r w:rsidRPr="00812EED">
              <w:rPr>
                <w:b/>
              </w:rPr>
              <w:t>Class Session</w:t>
            </w:r>
          </w:p>
        </w:tc>
        <w:tc>
          <w:tcPr>
            <w:tcW w:w="6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0CA0" w:rsidRPr="00812EED" w:rsidRDefault="00B22E7A" w:rsidP="008B0CA0">
            <w:pPr>
              <w:rPr>
                <w:b/>
              </w:rPr>
            </w:pPr>
            <w:r w:rsidRPr="00812EED">
              <w:rPr>
                <w:b/>
              </w:rPr>
              <w:t xml:space="preserve"> </w:t>
            </w:r>
          </w:p>
          <w:p w:rsidR="00A13F6B" w:rsidRPr="00812EED" w:rsidRDefault="00B22E7A" w:rsidP="008B0CA0">
            <w:pPr>
              <w:rPr>
                <w:b/>
              </w:rPr>
            </w:pPr>
            <w:r w:rsidRPr="00812EED">
              <w:rPr>
                <w:b/>
              </w:rPr>
              <w:t>Topic</w:t>
            </w:r>
          </w:p>
        </w:tc>
        <w:tc>
          <w:tcPr>
            <w:tcW w:w="2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0CA0" w:rsidRPr="00812EED" w:rsidRDefault="008B0CA0" w:rsidP="008B0CA0">
            <w:pPr>
              <w:rPr>
                <w:b/>
              </w:rPr>
            </w:pPr>
          </w:p>
          <w:p w:rsidR="00A13F6B" w:rsidRPr="00812EED" w:rsidRDefault="00B22E7A" w:rsidP="008B0CA0">
            <w:pPr>
              <w:rPr>
                <w:b/>
              </w:rPr>
            </w:pPr>
            <w:r w:rsidRPr="00812EED">
              <w:rPr>
                <w:b/>
              </w:rPr>
              <w:t>Readings</w:t>
            </w:r>
          </w:p>
        </w:tc>
      </w:tr>
      <w:tr w:rsidR="00A13F6B" w:rsidRPr="00812EED" w:rsidTr="00291480">
        <w:trPr>
          <w:trHeight w:val="785"/>
        </w:trPr>
        <w:tc>
          <w:tcPr>
            <w:tcW w:w="1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3F6B" w:rsidRDefault="00B22E7A">
            <w:pPr>
              <w:spacing w:before="240" w:after="240"/>
            </w:pPr>
            <w:r w:rsidRPr="00812EED">
              <w:t>1</w:t>
            </w:r>
          </w:p>
          <w:p w:rsidR="00291480" w:rsidRPr="00812EED" w:rsidRDefault="00291480">
            <w:pPr>
              <w:spacing w:before="240" w:after="240"/>
            </w:pPr>
            <w:r>
              <w:t>1/19/21</w:t>
            </w:r>
          </w:p>
        </w:tc>
        <w:tc>
          <w:tcPr>
            <w:tcW w:w="608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Course Introduction, Overview of Human Service Organizations</w:t>
            </w:r>
          </w:p>
          <w:p w:rsidR="00A13F6B" w:rsidRPr="00812EED" w:rsidRDefault="00B22E7A">
            <w:pPr>
              <w:numPr>
                <w:ilvl w:val="0"/>
                <w:numId w:val="32"/>
              </w:numPr>
              <w:spacing w:before="240"/>
            </w:pPr>
            <w:r w:rsidRPr="00812EED">
              <w:t>Basic structure and key functions of organizations</w:t>
            </w:r>
          </w:p>
          <w:p w:rsidR="00A13F6B" w:rsidRPr="00812EED" w:rsidRDefault="00B22E7A">
            <w:pPr>
              <w:numPr>
                <w:ilvl w:val="0"/>
                <w:numId w:val="32"/>
              </w:numPr>
            </w:pPr>
            <w:r w:rsidRPr="00812EED">
              <w:t>501(c)(3) nonprofit status</w:t>
            </w:r>
          </w:p>
          <w:p w:rsidR="00A13F6B" w:rsidRPr="00812EED" w:rsidRDefault="00B22E7A">
            <w:pPr>
              <w:numPr>
                <w:ilvl w:val="0"/>
                <w:numId w:val="32"/>
              </w:numPr>
            </w:pPr>
            <w:r w:rsidRPr="00812EED">
              <w:t>Private practice</w:t>
            </w:r>
          </w:p>
          <w:p w:rsidR="00A13F6B" w:rsidRPr="00812EED" w:rsidRDefault="00B22E7A">
            <w:pPr>
              <w:numPr>
                <w:ilvl w:val="0"/>
                <w:numId w:val="32"/>
              </w:numPr>
            </w:pPr>
            <w:r w:rsidRPr="00812EED">
              <w:t>Organizational stewardship and accountability to communities they serve</w:t>
            </w:r>
          </w:p>
          <w:p w:rsidR="00A13F6B" w:rsidRPr="00812EED" w:rsidRDefault="00B22E7A">
            <w:pPr>
              <w:numPr>
                <w:ilvl w:val="0"/>
                <w:numId w:val="32"/>
              </w:numPr>
              <w:spacing w:after="240"/>
            </w:pPr>
            <w:r w:rsidRPr="00812EED">
              <w:t>Under-representation of people of color</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Furman et al. (2020)</w:t>
            </w:r>
          </w:p>
          <w:p w:rsidR="00A13F6B" w:rsidRPr="00812EED" w:rsidRDefault="00B22E7A">
            <w:pPr>
              <w:spacing w:before="240" w:after="240"/>
            </w:pPr>
            <w:r w:rsidRPr="00812EED">
              <w:t>NASW (2013)</w:t>
            </w:r>
          </w:p>
          <w:p w:rsidR="00A13F6B" w:rsidRPr="00812EED" w:rsidRDefault="00B22E7A">
            <w:pPr>
              <w:spacing w:before="240" w:after="240"/>
            </w:pPr>
            <w:r w:rsidRPr="00812EED">
              <w:t xml:space="preserve">Optional: </w:t>
            </w:r>
          </w:p>
          <w:p w:rsidR="00A13F6B" w:rsidRPr="00812EED" w:rsidRDefault="00B22E7A">
            <w:pPr>
              <w:spacing w:before="240" w:after="240"/>
            </w:pPr>
            <w:r w:rsidRPr="00812EED">
              <w:t>Hanks (2016)</w:t>
            </w:r>
          </w:p>
        </w:tc>
      </w:tr>
      <w:tr w:rsidR="00A13F6B" w:rsidRPr="00812EED" w:rsidTr="00291480">
        <w:trPr>
          <w:trHeight w:val="785"/>
        </w:trPr>
        <w:tc>
          <w:tcPr>
            <w:tcW w:w="1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3F6B" w:rsidRDefault="00B22E7A">
            <w:pPr>
              <w:spacing w:before="240" w:after="240"/>
            </w:pPr>
            <w:r w:rsidRPr="00812EED">
              <w:t>2</w:t>
            </w:r>
          </w:p>
          <w:p w:rsidR="00291480" w:rsidRPr="00812EED" w:rsidRDefault="00291480">
            <w:pPr>
              <w:spacing w:before="240" w:after="240"/>
            </w:pPr>
            <w:r>
              <w:t>1/26/21</w:t>
            </w:r>
          </w:p>
        </w:tc>
        <w:tc>
          <w:tcPr>
            <w:tcW w:w="608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Financial and Legal Issues of Human Service Organizations</w:t>
            </w:r>
          </w:p>
          <w:p w:rsidR="00A13F6B" w:rsidRPr="00812EED" w:rsidRDefault="00B22E7A">
            <w:pPr>
              <w:numPr>
                <w:ilvl w:val="0"/>
                <w:numId w:val="33"/>
              </w:numPr>
              <w:spacing w:before="240"/>
            </w:pPr>
            <w:r w:rsidRPr="00812EED">
              <w:t>Organizational and program budgets</w:t>
            </w:r>
          </w:p>
          <w:p w:rsidR="00A13F6B" w:rsidRPr="00812EED" w:rsidRDefault="00B22E7A">
            <w:pPr>
              <w:numPr>
                <w:ilvl w:val="0"/>
                <w:numId w:val="33"/>
              </w:numPr>
            </w:pPr>
            <w:r w:rsidRPr="00812EED">
              <w:t>Risk management</w:t>
            </w:r>
          </w:p>
          <w:p w:rsidR="00A13F6B" w:rsidRPr="00812EED" w:rsidRDefault="00B22E7A">
            <w:pPr>
              <w:numPr>
                <w:ilvl w:val="0"/>
                <w:numId w:val="33"/>
              </w:numPr>
            </w:pPr>
            <w:r w:rsidRPr="00812EED">
              <w:t>Responding to financial challenges</w:t>
            </w:r>
          </w:p>
          <w:p w:rsidR="00A13F6B" w:rsidRPr="00812EED" w:rsidRDefault="00B22E7A">
            <w:pPr>
              <w:numPr>
                <w:ilvl w:val="0"/>
                <w:numId w:val="33"/>
              </w:numPr>
              <w:spacing w:after="240"/>
            </w:pPr>
            <w:r w:rsidRPr="00812EED">
              <w:t>Social justice considerations for organizational financial health</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Chapters 9 &amp; 13</w:t>
            </w:r>
          </w:p>
          <w:p w:rsidR="00A13F6B" w:rsidRPr="00812EED" w:rsidRDefault="00B22E7A">
            <w:pPr>
              <w:spacing w:before="240" w:after="240"/>
            </w:pPr>
            <w:r w:rsidRPr="00812EED">
              <w:t>Barsky (2012)</w:t>
            </w:r>
          </w:p>
        </w:tc>
      </w:tr>
      <w:tr w:rsidR="00A13F6B" w:rsidRPr="00812EED" w:rsidTr="00291480">
        <w:trPr>
          <w:trHeight w:val="785"/>
        </w:trPr>
        <w:tc>
          <w:tcPr>
            <w:tcW w:w="1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3F6B" w:rsidRDefault="00B22E7A">
            <w:pPr>
              <w:spacing w:before="240" w:after="240"/>
            </w:pPr>
            <w:r w:rsidRPr="00812EED">
              <w:t>3</w:t>
            </w:r>
          </w:p>
          <w:p w:rsidR="00291480" w:rsidRPr="00812EED" w:rsidRDefault="00291480">
            <w:pPr>
              <w:spacing w:before="240" w:after="240"/>
            </w:pPr>
            <w:r>
              <w:t>2/2/21</w:t>
            </w:r>
          </w:p>
        </w:tc>
        <w:tc>
          <w:tcPr>
            <w:tcW w:w="608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Social Work Leadership and Management</w:t>
            </w:r>
          </w:p>
          <w:p w:rsidR="00A13F6B" w:rsidRPr="00812EED" w:rsidRDefault="00B22E7A">
            <w:pPr>
              <w:numPr>
                <w:ilvl w:val="0"/>
                <w:numId w:val="15"/>
              </w:numPr>
              <w:spacing w:before="240"/>
            </w:pPr>
            <w:r w:rsidRPr="00812EED">
              <w:t>Leadership and management roles and best practices</w:t>
            </w:r>
          </w:p>
          <w:p w:rsidR="00A13F6B" w:rsidRPr="00812EED" w:rsidRDefault="00B22E7A">
            <w:pPr>
              <w:numPr>
                <w:ilvl w:val="0"/>
                <w:numId w:val="15"/>
              </w:numPr>
            </w:pPr>
            <w:r w:rsidRPr="00812EED">
              <w:t xml:space="preserve">Promoting diversity and cross-cultural competence </w:t>
            </w:r>
          </w:p>
          <w:p w:rsidR="00A13F6B" w:rsidRPr="00812EED" w:rsidRDefault="00B22E7A">
            <w:pPr>
              <w:numPr>
                <w:ilvl w:val="0"/>
                <w:numId w:val="15"/>
              </w:numPr>
            </w:pPr>
            <w:r w:rsidRPr="00812EED">
              <w:t>Leadership values of communities of color</w:t>
            </w:r>
          </w:p>
          <w:p w:rsidR="00A13F6B" w:rsidRPr="00812EED" w:rsidRDefault="00B22E7A">
            <w:pPr>
              <w:numPr>
                <w:ilvl w:val="0"/>
                <w:numId w:val="15"/>
              </w:numPr>
            </w:pPr>
            <w:r w:rsidRPr="00812EED">
              <w:t>Emotional and social intelligence</w:t>
            </w:r>
          </w:p>
          <w:p w:rsidR="00A13F6B" w:rsidRPr="00812EED" w:rsidRDefault="00B22E7A">
            <w:pPr>
              <w:numPr>
                <w:ilvl w:val="0"/>
                <w:numId w:val="15"/>
              </w:numPr>
              <w:spacing w:after="240"/>
            </w:pPr>
            <w:r w:rsidRPr="00812EED">
              <w:lastRenderedPageBreak/>
              <w:t>Translating clinical skills to leadership and management</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lastRenderedPageBreak/>
              <w:t>Chapter 2</w:t>
            </w:r>
          </w:p>
          <w:p w:rsidR="00A13F6B" w:rsidRPr="00812EED" w:rsidRDefault="00B22E7A">
            <w:pPr>
              <w:spacing w:before="240" w:after="240"/>
            </w:pPr>
            <w:proofErr w:type="spellStart"/>
            <w:r w:rsidRPr="00812EED">
              <w:t>Bordas</w:t>
            </w:r>
            <w:proofErr w:type="spellEnd"/>
            <w:r w:rsidRPr="00812EED">
              <w:t xml:space="preserve"> (2016)</w:t>
            </w:r>
          </w:p>
          <w:p w:rsidR="00A13F6B" w:rsidRPr="00812EED" w:rsidRDefault="00B22E7A">
            <w:pPr>
              <w:spacing w:before="240" w:after="240"/>
            </w:pPr>
            <w:r w:rsidRPr="00812EED">
              <w:t>Greene (2010)</w:t>
            </w:r>
          </w:p>
          <w:p w:rsidR="00A13F6B" w:rsidRPr="00812EED" w:rsidRDefault="00B22E7A">
            <w:pPr>
              <w:spacing w:before="240" w:after="240"/>
            </w:pPr>
            <w:r w:rsidRPr="00812EED">
              <w:t xml:space="preserve">Optional: </w:t>
            </w:r>
          </w:p>
          <w:p w:rsidR="00A13F6B" w:rsidRPr="00812EED" w:rsidRDefault="00B22E7A">
            <w:pPr>
              <w:spacing w:before="240" w:after="240"/>
            </w:pPr>
            <w:r w:rsidRPr="00812EED">
              <w:lastRenderedPageBreak/>
              <w:t>Martinez (2020)</w:t>
            </w:r>
          </w:p>
        </w:tc>
      </w:tr>
      <w:tr w:rsidR="00A13F6B" w:rsidRPr="00812EED" w:rsidTr="00291480">
        <w:trPr>
          <w:trHeight w:val="785"/>
        </w:trPr>
        <w:tc>
          <w:tcPr>
            <w:tcW w:w="1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3F6B" w:rsidRDefault="00B22E7A">
            <w:pPr>
              <w:spacing w:before="240" w:after="240"/>
            </w:pPr>
            <w:r w:rsidRPr="00812EED">
              <w:lastRenderedPageBreak/>
              <w:t>4</w:t>
            </w:r>
          </w:p>
          <w:p w:rsidR="00291480" w:rsidRPr="00812EED" w:rsidRDefault="00291480">
            <w:pPr>
              <w:spacing w:before="240" w:after="240"/>
            </w:pPr>
            <w:r>
              <w:t>2/9/21</w:t>
            </w:r>
          </w:p>
        </w:tc>
        <w:tc>
          <w:tcPr>
            <w:tcW w:w="608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Staff Management &amp; Supervision</w:t>
            </w:r>
          </w:p>
          <w:p w:rsidR="00A13F6B" w:rsidRPr="00812EED" w:rsidRDefault="00B22E7A">
            <w:pPr>
              <w:numPr>
                <w:ilvl w:val="0"/>
                <w:numId w:val="31"/>
              </w:numPr>
              <w:spacing w:before="240"/>
            </w:pPr>
            <w:r w:rsidRPr="00812EED">
              <w:t>Supervisory skills</w:t>
            </w:r>
          </w:p>
          <w:p w:rsidR="00A13F6B" w:rsidRPr="00812EED" w:rsidRDefault="00B22E7A">
            <w:pPr>
              <w:numPr>
                <w:ilvl w:val="0"/>
                <w:numId w:val="31"/>
              </w:numPr>
            </w:pPr>
            <w:r w:rsidRPr="00812EED">
              <w:t>Empathic supervision</w:t>
            </w:r>
          </w:p>
          <w:p w:rsidR="00A13F6B" w:rsidRPr="00812EED" w:rsidRDefault="00B22E7A">
            <w:pPr>
              <w:numPr>
                <w:ilvl w:val="0"/>
                <w:numId w:val="31"/>
              </w:numPr>
            </w:pPr>
            <w:r w:rsidRPr="00812EED">
              <w:t>Addressing inequities</w:t>
            </w:r>
          </w:p>
          <w:p w:rsidR="00A13F6B" w:rsidRPr="00812EED" w:rsidRDefault="00B22E7A">
            <w:pPr>
              <w:numPr>
                <w:ilvl w:val="0"/>
                <w:numId w:val="31"/>
              </w:numPr>
            </w:pPr>
            <w:r w:rsidRPr="00812EED">
              <w:t>Promoting and managing diversity</w:t>
            </w:r>
          </w:p>
          <w:p w:rsidR="00A13F6B" w:rsidRPr="00812EED" w:rsidRDefault="00B22E7A">
            <w:pPr>
              <w:numPr>
                <w:ilvl w:val="0"/>
                <w:numId w:val="31"/>
              </w:numPr>
            </w:pPr>
            <w:r w:rsidRPr="00812EED">
              <w:t>Culturally competent supervision</w:t>
            </w:r>
          </w:p>
          <w:p w:rsidR="00A13F6B" w:rsidRPr="00812EED" w:rsidRDefault="00B22E7A">
            <w:pPr>
              <w:numPr>
                <w:ilvl w:val="0"/>
                <w:numId w:val="31"/>
              </w:numPr>
              <w:spacing w:after="240"/>
            </w:pPr>
            <w:r w:rsidRPr="00812EED">
              <w:t>Performance evaluation</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Chapters 6 &amp; 11</w:t>
            </w:r>
          </w:p>
          <w:p w:rsidR="00A13F6B" w:rsidRPr="00812EED" w:rsidRDefault="00B22E7A">
            <w:pPr>
              <w:spacing w:before="240" w:after="240"/>
            </w:pPr>
            <w:r w:rsidRPr="00812EED">
              <w:t>Lusk et al. (2017)</w:t>
            </w:r>
          </w:p>
        </w:tc>
      </w:tr>
      <w:tr w:rsidR="00A13F6B" w:rsidRPr="00812EED" w:rsidTr="00291480">
        <w:trPr>
          <w:trHeight w:val="785"/>
        </w:trPr>
        <w:tc>
          <w:tcPr>
            <w:tcW w:w="1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3F6B" w:rsidRDefault="00B22E7A">
            <w:pPr>
              <w:spacing w:before="240" w:after="240"/>
            </w:pPr>
            <w:r w:rsidRPr="00812EED">
              <w:t>5</w:t>
            </w:r>
          </w:p>
          <w:p w:rsidR="00291480" w:rsidRPr="00812EED" w:rsidRDefault="00291480">
            <w:pPr>
              <w:spacing w:before="240" w:after="240"/>
            </w:pPr>
            <w:r>
              <w:t>2/16/21</w:t>
            </w:r>
          </w:p>
        </w:tc>
        <w:tc>
          <w:tcPr>
            <w:tcW w:w="608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Intra- and Interpersonal Skills in Organizations</w:t>
            </w:r>
          </w:p>
          <w:p w:rsidR="00A13F6B" w:rsidRPr="00812EED" w:rsidRDefault="00B22E7A">
            <w:pPr>
              <w:numPr>
                <w:ilvl w:val="0"/>
                <w:numId w:val="16"/>
              </w:numPr>
              <w:spacing w:before="240"/>
            </w:pPr>
            <w:r w:rsidRPr="00812EED">
              <w:t>Inviting diverse perspectives</w:t>
            </w:r>
          </w:p>
          <w:p w:rsidR="00A13F6B" w:rsidRPr="00812EED" w:rsidRDefault="00B22E7A">
            <w:pPr>
              <w:numPr>
                <w:ilvl w:val="0"/>
                <w:numId w:val="16"/>
              </w:numPr>
            </w:pPr>
            <w:r w:rsidRPr="00812EED">
              <w:t>Making meetings productive</w:t>
            </w:r>
          </w:p>
          <w:p w:rsidR="00A13F6B" w:rsidRPr="00812EED" w:rsidRDefault="00B22E7A">
            <w:pPr>
              <w:numPr>
                <w:ilvl w:val="0"/>
                <w:numId w:val="16"/>
              </w:numPr>
            </w:pPr>
            <w:r w:rsidRPr="00812EED">
              <w:t>Communication and conflict management skills</w:t>
            </w:r>
          </w:p>
          <w:p w:rsidR="00A13F6B" w:rsidRPr="00812EED" w:rsidRDefault="00B22E7A">
            <w:pPr>
              <w:numPr>
                <w:ilvl w:val="0"/>
                <w:numId w:val="16"/>
              </w:numPr>
            </w:pPr>
            <w:r w:rsidRPr="00812EED">
              <w:t>Gathering and honoring staff participation in decisions</w:t>
            </w:r>
          </w:p>
          <w:p w:rsidR="00A13F6B" w:rsidRPr="00812EED" w:rsidRDefault="00B22E7A">
            <w:pPr>
              <w:numPr>
                <w:ilvl w:val="0"/>
                <w:numId w:val="16"/>
              </w:numPr>
            </w:pPr>
            <w:r w:rsidRPr="00812EED">
              <w:t>Individual vs. group decision making</w:t>
            </w:r>
          </w:p>
          <w:p w:rsidR="00A13F6B" w:rsidRPr="00812EED" w:rsidRDefault="00B22E7A">
            <w:pPr>
              <w:numPr>
                <w:ilvl w:val="0"/>
                <w:numId w:val="16"/>
              </w:numPr>
              <w:spacing w:after="240"/>
            </w:pPr>
            <w:r w:rsidRPr="00812EED">
              <w:t>Conducting problem analysis</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Chapters 4 &amp; 5</w:t>
            </w:r>
          </w:p>
        </w:tc>
      </w:tr>
      <w:tr w:rsidR="00A13F6B" w:rsidRPr="00812EED" w:rsidTr="00291480">
        <w:trPr>
          <w:trHeight w:val="785"/>
        </w:trPr>
        <w:tc>
          <w:tcPr>
            <w:tcW w:w="1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3F6B" w:rsidRDefault="00B22E7A">
            <w:pPr>
              <w:spacing w:before="240" w:after="240"/>
            </w:pPr>
            <w:r w:rsidRPr="00812EED">
              <w:t>6</w:t>
            </w:r>
          </w:p>
          <w:p w:rsidR="00291480" w:rsidRPr="00812EED" w:rsidRDefault="00291480">
            <w:pPr>
              <w:spacing w:before="240" w:after="240"/>
            </w:pPr>
            <w:r>
              <w:t>2/23/21</w:t>
            </w:r>
          </w:p>
        </w:tc>
        <w:tc>
          <w:tcPr>
            <w:tcW w:w="608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Promoting Diversity, Equity, and Inclusion in the Organization, Part 1</w:t>
            </w:r>
          </w:p>
          <w:p w:rsidR="00A13F6B" w:rsidRPr="00812EED" w:rsidRDefault="00B22E7A">
            <w:pPr>
              <w:numPr>
                <w:ilvl w:val="0"/>
                <w:numId w:val="31"/>
              </w:numPr>
              <w:spacing w:before="240"/>
            </w:pPr>
            <w:r w:rsidRPr="00812EED">
              <w:t>Organizational culture and climate</w:t>
            </w:r>
          </w:p>
          <w:p w:rsidR="00A13F6B" w:rsidRPr="00812EED" w:rsidRDefault="00B22E7A">
            <w:pPr>
              <w:numPr>
                <w:ilvl w:val="0"/>
                <w:numId w:val="31"/>
              </w:numPr>
            </w:pPr>
            <w:r w:rsidRPr="00812EED">
              <w:t>Power in organizations</w:t>
            </w:r>
          </w:p>
          <w:p w:rsidR="00A13F6B" w:rsidRPr="00812EED" w:rsidRDefault="00B22E7A">
            <w:pPr>
              <w:numPr>
                <w:ilvl w:val="0"/>
                <w:numId w:val="31"/>
              </w:numPr>
            </w:pPr>
            <w:r w:rsidRPr="00812EED">
              <w:t>Promoting diversity and culturally competent practice</w:t>
            </w:r>
          </w:p>
          <w:p w:rsidR="00A13F6B" w:rsidRPr="00812EED" w:rsidRDefault="00B22E7A">
            <w:pPr>
              <w:numPr>
                <w:ilvl w:val="0"/>
                <w:numId w:val="31"/>
              </w:numPr>
            </w:pPr>
            <w:r w:rsidRPr="00812EED">
              <w:t>Motivating employees</w:t>
            </w:r>
          </w:p>
          <w:p w:rsidR="00A13F6B" w:rsidRPr="00812EED" w:rsidRDefault="00B22E7A">
            <w:pPr>
              <w:numPr>
                <w:ilvl w:val="0"/>
                <w:numId w:val="31"/>
              </w:numPr>
              <w:spacing w:after="240"/>
            </w:pPr>
            <w:r w:rsidRPr="00812EED">
              <w:t>Recognizing and addressing organizational dysfunction</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Chapter 8</w:t>
            </w:r>
          </w:p>
          <w:p w:rsidR="00A13F6B" w:rsidRPr="00812EED" w:rsidRDefault="00B22E7A">
            <w:pPr>
              <w:spacing w:before="240" w:after="240"/>
            </w:pPr>
            <w:r w:rsidRPr="00812EED">
              <w:t>National Council of Nonprofits (2020)</w:t>
            </w:r>
          </w:p>
          <w:p w:rsidR="00425A44" w:rsidRPr="00812EED" w:rsidRDefault="00425A44">
            <w:pPr>
              <w:spacing w:before="240" w:after="240"/>
            </w:pPr>
            <w:r w:rsidRPr="00812EED">
              <w:t>Walter et al (2017)</w:t>
            </w:r>
          </w:p>
          <w:p w:rsidR="00A13F6B" w:rsidRPr="00812EED" w:rsidRDefault="00B22E7A">
            <w:pPr>
              <w:spacing w:before="240" w:after="240"/>
            </w:pPr>
            <w:r w:rsidRPr="00812EED">
              <w:t xml:space="preserve">Optional: </w:t>
            </w:r>
          </w:p>
          <w:p w:rsidR="00A13F6B" w:rsidRPr="00812EED" w:rsidRDefault="00B22E7A">
            <w:pPr>
              <w:spacing w:before="240" w:after="240"/>
            </w:pPr>
            <w:r w:rsidRPr="00812EED">
              <w:t>Rodriguez et al. (2016)</w:t>
            </w:r>
          </w:p>
        </w:tc>
      </w:tr>
      <w:tr w:rsidR="00A13F6B" w:rsidRPr="00812EED" w:rsidTr="00291480">
        <w:trPr>
          <w:trHeight w:val="1025"/>
        </w:trPr>
        <w:tc>
          <w:tcPr>
            <w:tcW w:w="1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3F6B" w:rsidRDefault="00B22E7A">
            <w:pPr>
              <w:spacing w:before="240" w:after="240"/>
            </w:pPr>
            <w:r w:rsidRPr="00812EED">
              <w:t>7</w:t>
            </w:r>
          </w:p>
          <w:p w:rsidR="00291480" w:rsidRPr="00812EED" w:rsidRDefault="00291480">
            <w:pPr>
              <w:spacing w:before="240" w:after="240"/>
            </w:pPr>
            <w:r>
              <w:t>3/2/21</w:t>
            </w:r>
          </w:p>
        </w:tc>
        <w:tc>
          <w:tcPr>
            <w:tcW w:w="608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Promoting Diversity, Equity, and Inclusion in the Organization, Part 2</w:t>
            </w:r>
          </w:p>
          <w:p w:rsidR="00A13F6B" w:rsidRPr="00812EED" w:rsidRDefault="00B22E7A">
            <w:pPr>
              <w:numPr>
                <w:ilvl w:val="0"/>
                <w:numId w:val="13"/>
              </w:numPr>
              <w:spacing w:before="240"/>
            </w:pPr>
            <w:r w:rsidRPr="00812EED">
              <w:t xml:space="preserve">Anti-oppressive practice and racial equity  in organizations </w:t>
            </w:r>
          </w:p>
          <w:p w:rsidR="00A13F6B" w:rsidRPr="00812EED" w:rsidRDefault="00B22E7A">
            <w:pPr>
              <w:numPr>
                <w:ilvl w:val="0"/>
                <w:numId w:val="13"/>
              </w:numPr>
              <w:spacing w:after="240"/>
            </w:pPr>
            <w:r w:rsidRPr="00812EED">
              <w:t>Trauma-informed culture</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Esaki (2019)</w:t>
            </w:r>
          </w:p>
          <w:p w:rsidR="00425A44" w:rsidRPr="00812EED" w:rsidRDefault="00425A44">
            <w:pPr>
              <w:spacing w:before="240" w:after="240"/>
            </w:pPr>
            <w:r w:rsidRPr="00812EED">
              <w:t>Gates (2015)</w:t>
            </w:r>
          </w:p>
          <w:p w:rsidR="00425A44" w:rsidRDefault="00B22E7A">
            <w:pPr>
              <w:spacing w:before="240" w:after="240"/>
            </w:pPr>
            <w:proofErr w:type="spellStart"/>
            <w:r w:rsidRPr="00812EED">
              <w:t>ProInspire</w:t>
            </w:r>
            <w:proofErr w:type="spellEnd"/>
            <w:r w:rsidRPr="00812EED">
              <w:t xml:space="preserve"> (2018)</w:t>
            </w:r>
          </w:p>
          <w:p w:rsidR="007F294E" w:rsidRPr="00812EED" w:rsidRDefault="007F294E">
            <w:pPr>
              <w:spacing w:before="240" w:after="240"/>
            </w:pPr>
            <w:r>
              <w:lastRenderedPageBreak/>
              <w:t>Optional: James et al. (2008)</w:t>
            </w:r>
          </w:p>
        </w:tc>
      </w:tr>
      <w:tr w:rsidR="00A13F6B" w:rsidRPr="00812EED" w:rsidTr="00291480">
        <w:trPr>
          <w:trHeight w:val="500"/>
        </w:trPr>
        <w:tc>
          <w:tcPr>
            <w:tcW w:w="1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3F6B" w:rsidRDefault="00B22E7A">
            <w:pPr>
              <w:spacing w:before="240" w:after="240"/>
            </w:pPr>
            <w:r w:rsidRPr="00812EED">
              <w:lastRenderedPageBreak/>
              <w:t>8</w:t>
            </w:r>
          </w:p>
          <w:p w:rsidR="00291480" w:rsidRPr="00812EED" w:rsidRDefault="00291480">
            <w:pPr>
              <w:spacing w:before="240" w:after="240"/>
            </w:pPr>
            <w:r>
              <w:t>3/9/21</w:t>
            </w:r>
          </w:p>
        </w:tc>
        <w:tc>
          <w:tcPr>
            <w:tcW w:w="608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Program Planning and Management, Part 1</w:t>
            </w:r>
          </w:p>
          <w:p w:rsidR="00A13F6B" w:rsidRPr="00812EED" w:rsidRDefault="00B22E7A">
            <w:pPr>
              <w:numPr>
                <w:ilvl w:val="0"/>
                <w:numId w:val="3"/>
              </w:numPr>
              <w:spacing w:before="240"/>
            </w:pPr>
            <w:r w:rsidRPr="00812EED">
              <w:t xml:space="preserve">Creating needs assessments </w:t>
            </w:r>
          </w:p>
          <w:p w:rsidR="00A13F6B" w:rsidRPr="00812EED" w:rsidRDefault="00B22E7A">
            <w:pPr>
              <w:numPr>
                <w:ilvl w:val="0"/>
                <w:numId w:val="3"/>
              </w:numPr>
            </w:pPr>
            <w:r w:rsidRPr="00812EED">
              <w:t>Human-centered and participatory design practices</w:t>
            </w:r>
          </w:p>
          <w:p w:rsidR="00A13F6B" w:rsidRPr="00812EED" w:rsidRDefault="00B22E7A">
            <w:pPr>
              <w:numPr>
                <w:ilvl w:val="0"/>
                <w:numId w:val="3"/>
              </w:numPr>
              <w:spacing w:after="240"/>
            </w:pPr>
            <w:r w:rsidRPr="00812EED">
              <w:t>How to create a program budget</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Chapter 15</w:t>
            </w:r>
          </w:p>
          <w:p w:rsidR="002631DF" w:rsidRPr="00812EED" w:rsidRDefault="002631DF" w:rsidP="002631DF">
            <w:pPr>
              <w:pStyle w:val="NormalWeb"/>
              <w:spacing w:before="240" w:beforeAutospacing="0" w:after="240" w:afterAutospacing="0"/>
            </w:pPr>
            <w:r w:rsidRPr="00812EED">
              <w:rPr>
                <w:color w:val="000000"/>
              </w:rPr>
              <w:t>Brown &amp; Wyatt (2010)</w:t>
            </w:r>
          </w:p>
        </w:tc>
      </w:tr>
      <w:tr w:rsidR="00A13F6B" w:rsidRPr="00812EED" w:rsidTr="00291480">
        <w:trPr>
          <w:trHeight w:val="500"/>
        </w:trPr>
        <w:tc>
          <w:tcPr>
            <w:tcW w:w="1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3F6B" w:rsidRDefault="00B22E7A">
            <w:pPr>
              <w:spacing w:before="240" w:after="240"/>
            </w:pPr>
            <w:r w:rsidRPr="00812EED">
              <w:t>9</w:t>
            </w:r>
          </w:p>
          <w:p w:rsidR="00291480" w:rsidRPr="00812EED" w:rsidRDefault="00291480">
            <w:pPr>
              <w:spacing w:before="240" w:after="240"/>
            </w:pPr>
            <w:r>
              <w:t>3/16/21</w:t>
            </w:r>
          </w:p>
        </w:tc>
        <w:tc>
          <w:tcPr>
            <w:tcW w:w="608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Program Planning and Management, Part 2</w:t>
            </w:r>
          </w:p>
          <w:p w:rsidR="00765A1F" w:rsidRPr="00812EED" w:rsidRDefault="00765A1F" w:rsidP="00765A1F">
            <w:pPr>
              <w:pStyle w:val="NormalWeb"/>
              <w:numPr>
                <w:ilvl w:val="0"/>
                <w:numId w:val="34"/>
              </w:numPr>
              <w:spacing w:before="0" w:beforeAutospacing="0" w:after="0" w:afterAutospacing="0"/>
              <w:textAlignment w:val="baseline"/>
              <w:rPr>
                <w:color w:val="000000"/>
              </w:rPr>
            </w:pPr>
            <w:r w:rsidRPr="00812EED">
              <w:rPr>
                <w:color w:val="000000"/>
              </w:rPr>
              <w:t>Social justice approach to program development</w:t>
            </w:r>
          </w:p>
          <w:p w:rsidR="002631DF" w:rsidRPr="00812EED" w:rsidRDefault="002631DF" w:rsidP="00765A1F">
            <w:pPr>
              <w:pStyle w:val="NormalWeb"/>
              <w:numPr>
                <w:ilvl w:val="0"/>
                <w:numId w:val="34"/>
              </w:numPr>
              <w:spacing w:before="0" w:beforeAutospacing="0" w:after="0" w:afterAutospacing="0"/>
              <w:textAlignment w:val="baseline"/>
              <w:rPr>
                <w:color w:val="000000"/>
              </w:rPr>
            </w:pPr>
            <w:r w:rsidRPr="00812EED">
              <w:rPr>
                <w:color w:val="000000"/>
              </w:rPr>
              <w:t>Engaging stakeholders</w:t>
            </w:r>
          </w:p>
          <w:p w:rsidR="002631DF" w:rsidRPr="00812EED" w:rsidRDefault="002631DF" w:rsidP="00765A1F">
            <w:pPr>
              <w:pStyle w:val="NormalWeb"/>
              <w:numPr>
                <w:ilvl w:val="0"/>
                <w:numId w:val="34"/>
              </w:numPr>
              <w:spacing w:before="0" w:beforeAutospacing="0" w:after="0" w:afterAutospacing="0"/>
              <w:textAlignment w:val="baseline"/>
              <w:rPr>
                <w:color w:val="000000"/>
              </w:rPr>
            </w:pPr>
            <w:r w:rsidRPr="00812EED">
              <w:rPr>
                <w:color w:val="000000"/>
              </w:rPr>
              <w:t>Logic models and theories of change</w:t>
            </w:r>
          </w:p>
          <w:p w:rsidR="002631DF" w:rsidRPr="00812EED" w:rsidRDefault="002631DF" w:rsidP="002631DF">
            <w:pPr>
              <w:pStyle w:val="NormalWeb"/>
              <w:numPr>
                <w:ilvl w:val="0"/>
                <w:numId w:val="34"/>
              </w:numPr>
              <w:spacing w:before="0" w:beforeAutospacing="0" w:after="240" w:afterAutospacing="0"/>
              <w:textAlignment w:val="baseline"/>
              <w:rPr>
                <w:color w:val="000000"/>
              </w:rPr>
            </w:pPr>
            <w:r w:rsidRPr="00812EED">
              <w:rPr>
                <w:color w:val="000000"/>
              </w:rPr>
              <w:t>Monitoring and evaluation</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765A1F">
            <w:pPr>
              <w:spacing w:before="240" w:after="240"/>
            </w:pPr>
            <w:proofErr w:type="spellStart"/>
            <w:r w:rsidRPr="00812EED">
              <w:t>Maschi</w:t>
            </w:r>
            <w:proofErr w:type="spellEnd"/>
            <w:r w:rsidRPr="00812EED">
              <w:t xml:space="preserve"> &amp; Jade de Saussure (2016)</w:t>
            </w:r>
          </w:p>
        </w:tc>
      </w:tr>
      <w:tr w:rsidR="00A13F6B" w:rsidRPr="00812EED" w:rsidTr="00291480">
        <w:trPr>
          <w:trHeight w:val="1025"/>
        </w:trPr>
        <w:tc>
          <w:tcPr>
            <w:tcW w:w="1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3F6B" w:rsidRDefault="00B22E7A">
            <w:pPr>
              <w:spacing w:before="240" w:after="240"/>
            </w:pPr>
            <w:r w:rsidRPr="00812EED">
              <w:t>10</w:t>
            </w:r>
          </w:p>
          <w:p w:rsidR="00291480" w:rsidRPr="00812EED" w:rsidRDefault="00291480">
            <w:pPr>
              <w:spacing w:before="240" w:after="240"/>
            </w:pPr>
            <w:r>
              <w:t>3/23/21</w:t>
            </w:r>
          </w:p>
        </w:tc>
        <w:tc>
          <w:tcPr>
            <w:tcW w:w="608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Evidence-Informed Practice &amp; Implementation Science</w:t>
            </w:r>
          </w:p>
          <w:p w:rsidR="00A13F6B" w:rsidRPr="00812EED" w:rsidRDefault="00B22E7A">
            <w:pPr>
              <w:numPr>
                <w:ilvl w:val="0"/>
                <w:numId w:val="20"/>
              </w:numPr>
              <w:spacing w:before="240"/>
            </w:pPr>
            <w:r w:rsidRPr="00812EED">
              <w:t>How to identify and consider evidence-informed practices and interventions</w:t>
            </w:r>
          </w:p>
          <w:p w:rsidR="00A13F6B" w:rsidRPr="00812EED" w:rsidRDefault="00B22E7A">
            <w:pPr>
              <w:numPr>
                <w:ilvl w:val="0"/>
                <w:numId w:val="20"/>
              </w:numPr>
            </w:pPr>
            <w:r w:rsidRPr="00812EED">
              <w:t>Cultural relevancy and competency of interventions</w:t>
            </w:r>
          </w:p>
          <w:p w:rsidR="00A13F6B" w:rsidRPr="00812EED" w:rsidRDefault="00B22E7A">
            <w:pPr>
              <w:numPr>
                <w:ilvl w:val="0"/>
                <w:numId w:val="20"/>
              </w:numPr>
              <w:spacing w:after="240"/>
            </w:pPr>
            <w:r w:rsidRPr="00812EED">
              <w:t>Organizational challenges in implementing evidence-informed practices and interventions</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Despard (2016)</w:t>
            </w:r>
          </w:p>
          <w:p w:rsidR="00A13F6B" w:rsidRPr="00812EED" w:rsidRDefault="00B22E7A">
            <w:pPr>
              <w:spacing w:before="240" w:after="240"/>
            </w:pPr>
            <w:r w:rsidRPr="00812EED">
              <w:t>Wike et al. (2014)</w:t>
            </w:r>
          </w:p>
        </w:tc>
      </w:tr>
      <w:tr w:rsidR="00A13F6B" w:rsidRPr="00812EED" w:rsidTr="00291480">
        <w:trPr>
          <w:trHeight w:val="500"/>
        </w:trPr>
        <w:tc>
          <w:tcPr>
            <w:tcW w:w="1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3F6B" w:rsidRDefault="00B22E7A">
            <w:pPr>
              <w:spacing w:before="240" w:after="240"/>
            </w:pPr>
            <w:r w:rsidRPr="00812EED">
              <w:t>11</w:t>
            </w:r>
          </w:p>
          <w:p w:rsidR="00291480" w:rsidRPr="00812EED" w:rsidRDefault="00291480">
            <w:pPr>
              <w:spacing w:before="240" w:after="240"/>
            </w:pPr>
            <w:r>
              <w:t>3/30/21</w:t>
            </w:r>
          </w:p>
        </w:tc>
        <w:tc>
          <w:tcPr>
            <w:tcW w:w="608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Inter-Agency Collaboration and Social Justice, Part 1</w:t>
            </w:r>
          </w:p>
          <w:p w:rsidR="00A13F6B" w:rsidRPr="00812EED" w:rsidRDefault="00B22E7A">
            <w:pPr>
              <w:numPr>
                <w:ilvl w:val="0"/>
                <w:numId w:val="22"/>
              </w:numPr>
              <w:spacing w:before="240"/>
            </w:pPr>
            <w:r w:rsidRPr="00812EED">
              <w:t>Engaging with policy advocacy coalitions</w:t>
            </w:r>
          </w:p>
          <w:p w:rsidR="00A13F6B" w:rsidRPr="00812EED" w:rsidRDefault="00B22E7A">
            <w:pPr>
              <w:numPr>
                <w:ilvl w:val="0"/>
                <w:numId w:val="22"/>
              </w:numPr>
            </w:pPr>
            <w:r w:rsidRPr="00812EED">
              <w:t>Collaboration among health and human service organizations</w:t>
            </w:r>
          </w:p>
          <w:p w:rsidR="00A13F6B" w:rsidRPr="00812EED" w:rsidRDefault="00B22E7A">
            <w:pPr>
              <w:numPr>
                <w:ilvl w:val="0"/>
                <w:numId w:val="22"/>
              </w:numPr>
              <w:spacing w:after="240"/>
            </w:pPr>
            <w:r w:rsidRPr="00812EED">
              <w:t>Social work advocacy for transgender people</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Chapter 17</w:t>
            </w:r>
          </w:p>
          <w:p w:rsidR="00A13F6B" w:rsidRPr="00812EED" w:rsidRDefault="00B22E7A">
            <w:pPr>
              <w:spacing w:before="240" w:after="240"/>
            </w:pPr>
            <w:r w:rsidRPr="00812EED">
              <w:t>Lerner &amp; Robles (2016)</w:t>
            </w:r>
          </w:p>
        </w:tc>
      </w:tr>
      <w:tr w:rsidR="00A13F6B" w:rsidRPr="00812EED" w:rsidTr="00291480">
        <w:trPr>
          <w:trHeight w:val="785"/>
        </w:trPr>
        <w:tc>
          <w:tcPr>
            <w:tcW w:w="1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3F6B" w:rsidRDefault="00B22E7A">
            <w:pPr>
              <w:spacing w:before="240" w:after="240"/>
            </w:pPr>
            <w:r w:rsidRPr="00812EED">
              <w:t>12</w:t>
            </w:r>
          </w:p>
          <w:p w:rsidR="00291480" w:rsidRPr="00812EED" w:rsidRDefault="00291480">
            <w:pPr>
              <w:spacing w:before="240" w:after="240"/>
            </w:pPr>
            <w:r>
              <w:t>4/6/21</w:t>
            </w:r>
          </w:p>
        </w:tc>
        <w:tc>
          <w:tcPr>
            <w:tcW w:w="608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Inter-Agency Collaboration and Social Justice, Part 2</w:t>
            </w:r>
          </w:p>
          <w:p w:rsidR="00A13F6B" w:rsidRPr="00812EED" w:rsidRDefault="00B22E7A">
            <w:pPr>
              <w:numPr>
                <w:ilvl w:val="0"/>
                <w:numId w:val="14"/>
              </w:numPr>
              <w:spacing w:before="240"/>
            </w:pPr>
            <w:r w:rsidRPr="00812EED">
              <w:t>Empowering direct services clients to self-advocate</w:t>
            </w:r>
          </w:p>
          <w:p w:rsidR="00A13F6B" w:rsidRPr="00812EED" w:rsidRDefault="00B22E7A">
            <w:pPr>
              <w:numPr>
                <w:ilvl w:val="0"/>
                <w:numId w:val="14"/>
              </w:numPr>
              <w:spacing w:after="240"/>
            </w:pPr>
            <w:r w:rsidRPr="00812EED">
              <w:t xml:space="preserve">Engaging with and advocating for </w:t>
            </w:r>
            <w:proofErr w:type="spellStart"/>
            <w:r w:rsidRPr="00812EED">
              <w:t>LGBTiQ</w:t>
            </w:r>
            <w:proofErr w:type="spellEnd"/>
            <w:r w:rsidRPr="00812EED">
              <w:t xml:space="preserve"> youth </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 xml:space="preserve">Building Movement Project </w:t>
            </w:r>
          </w:p>
          <w:p w:rsidR="00A13F6B" w:rsidRPr="00812EED" w:rsidRDefault="00B22E7A">
            <w:pPr>
              <w:spacing w:before="240" w:after="240"/>
            </w:pPr>
            <w:r w:rsidRPr="00812EED">
              <w:t>Craig (2011)</w:t>
            </w:r>
          </w:p>
        </w:tc>
      </w:tr>
      <w:tr w:rsidR="00A13F6B" w:rsidRPr="00812EED" w:rsidTr="00291480">
        <w:trPr>
          <w:trHeight w:val="500"/>
        </w:trPr>
        <w:tc>
          <w:tcPr>
            <w:tcW w:w="1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3F6B" w:rsidRDefault="00B22E7A">
            <w:pPr>
              <w:spacing w:before="240" w:after="240"/>
            </w:pPr>
            <w:r w:rsidRPr="00812EED">
              <w:lastRenderedPageBreak/>
              <w:t>13</w:t>
            </w:r>
          </w:p>
          <w:p w:rsidR="00291480" w:rsidRPr="00812EED" w:rsidRDefault="00291480">
            <w:pPr>
              <w:spacing w:before="240" w:after="240"/>
            </w:pPr>
            <w:r>
              <w:t>4/13/21</w:t>
            </w:r>
          </w:p>
        </w:tc>
        <w:tc>
          <w:tcPr>
            <w:tcW w:w="608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Professional and Career Development</w:t>
            </w:r>
          </w:p>
          <w:p w:rsidR="00A13F6B" w:rsidRPr="00812EED" w:rsidRDefault="00B22E7A">
            <w:pPr>
              <w:numPr>
                <w:ilvl w:val="0"/>
                <w:numId w:val="21"/>
              </w:numPr>
              <w:spacing w:before="240"/>
            </w:pPr>
            <w:r w:rsidRPr="00812EED">
              <w:t>Professional networking</w:t>
            </w:r>
          </w:p>
          <w:p w:rsidR="00A13F6B" w:rsidRPr="00812EED" w:rsidRDefault="00B22E7A">
            <w:pPr>
              <w:numPr>
                <w:ilvl w:val="0"/>
                <w:numId w:val="21"/>
              </w:numPr>
            </w:pPr>
            <w:r w:rsidRPr="00812EED">
              <w:t>Job search process</w:t>
            </w:r>
          </w:p>
          <w:p w:rsidR="00A13F6B" w:rsidRPr="00812EED" w:rsidRDefault="00B22E7A">
            <w:pPr>
              <w:numPr>
                <w:ilvl w:val="0"/>
                <w:numId w:val="21"/>
              </w:numPr>
            </w:pPr>
            <w:r w:rsidRPr="00812EED">
              <w:t xml:space="preserve">Interviewing and salary negotiation </w:t>
            </w:r>
          </w:p>
          <w:p w:rsidR="00A13F6B" w:rsidRPr="00812EED" w:rsidRDefault="00B22E7A">
            <w:pPr>
              <w:numPr>
                <w:ilvl w:val="0"/>
                <w:numId w:val="21"/>
              </w:numPr>
            </w:pPr>
            <w:r w:rsidRPr="00812EED">
              <w:t>Receiving mentorship</w:t>
            </w:r>
          </w:p>
          <w:p w:rsidR="00A13F6B" w:rsidRPr="00812EED" w:rsidRDefault="00B22E7A">
            <w:pPr>
              <w:numPr>
                <w:ilvl w:val="0"/>
                <w:numId w:val="21"/>
              </w:numPr>
            </w:pPr>
            <w:r w:rsidRPr="00812EED">
              <w:t>How diversity and intersectionality affect professional and career development</w:t>
            </w:r>
          </w:p>
          <w:p w:rsidR="00A13F6B" w:rsidRPr="00812EED" w:rsidRDefault="00B22E7A">
            <w:pPr>
              <w:numPr>
                <w:ilvl w:val="0"/>
                <w:numId w:val="21"/>
              </w:numPr>
            </w:pPr>
            <w:r w:rsidRPr="00812EED">
              <w:t xml:space="preserve">Breaking glass ceilings, navigating exclusion </w:t>
            </w:r>
          </w:p>
          <w:p w:rsidR="00A13F6B" w:rsidRPr="00812EED" w:rsidRDefault="00B22E7A">
            <w:pPr>
              <w:numPr>
                <w:ilvl w:val="0"/>
                <w:numId w:val="21"/>
              </w:numPr>
              <w:spacing w:after="240"/>
            </w:pPr>
            <w:r w:rsidRPr="00812EED">
              <w:t>Advancing into leadership positions</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Chapter 7</w:t>
            </w:r>
          </w:p>
          <w:p w:rsidR="00A13F6B" w:rsidRPr="00812EED" w:rsidRDefault="00A13F6B">
            <w:pPr>
              <w:spacing w:before="240" w:after="240"/>
            </w:pPr>
          </w:p>
        </w:tc>
      </w:tr>
      <w:tr w:rsidR="00A13F6B" w:rsidRPr="00812EED" w:rsidTr="00291480">
        <w:trPr>
          <w:trHeight w:val="500"/>
        </w:trPr>
        <w:tc>
          <w:tcPr>
            <w:tcW w:w="1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3F6B" w:rsidRDefault="00B22E7A">
            <w:pPr>
              <w:spacing w:before="240" w:after="240"/>
            </w:pPr>
            <w:r w:rsidRPr="00812EED">
              <w:t>14</w:t>
            </w:r>
          </w:p>
          <w:p w:rsidR="00291480" w:rsidRPr="00812EED" w:rsidRDefault="00291480">
            <w:pPr>
              <w:spacing w:before="240" w:after="240"/>
            </w:pPr>
            <w:r>
              <w:t>4/20/21</w:t>
            </w:r>
          </w:p>
        </w:tc>
        <w:tc>
          <w:tcPr>
            <w:tcW w:w="608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Program Plan Presentations</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None</w:t>
            </w:r>
          </w:p>
        </w:tc>
      </w:tr>
      <w:tr w:rsidR="00A13F6B" w:rsidRPr="00812EED" w:rsidTr="00291480">
        <w:trPr>
          <w:trHeight w:val="785"/>
        </w:trPr>
        <w:tc>
          <w:tcPr>
            <w:tcW w:w="1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3F6B" w:rsidRDefault="00B22E7A">
            <w:pPr>
              <w:spacing w:before="240" w:after="240"/>
            </w:pPr>
            <w:r w:rsidRPr="00812EED">
              <w:t>15</w:t>
            </w:r>
          </w:p>
          <w:p w:rsidR="00291480" w:rsidRPr="00812EED" w:rsidRDefault="00291480">
            <w:pPr>
              <w:spacing w:before="240" w:after="240"/>
            </w:pPr>
            <w:r>
              <w:t>4/27/21</w:t>
            </w:r>
          </w:p>
        </w:tc>
        <w:tc>
          <w:tcPr>
            <w:tcW w:w="608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Program Plan Presentations &amp; Course Wrap-up</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rsidR="00A13F6B" w:rsidRPr="00812EED" w:rsidRDefault="00B22E7A">
            <w:pPr>
              <w:spacing w:before="240" w:after="240"/>
            </w:pPr>
            <w:r w:rsidRPr="00812EED">
              <w:t>None</w:t>
            </w:r>
          </w:p>
        </w:tc>
      </w:tr>
    </w:tbl>
    <w:p w:rsidR="00FC5665" w:rsidRPr="00812EED" w:rsidRDefault="00FC5665">
      <w:pPr>
        <w:rPr>
          <w:b/>
        </w:rPr>
      </w:pPr>
    </w:p>
    <w:p w:rsidR="00A13F6B" w:rsidRPr="00812EED" w:rsidRDefault="00B22E7A">
      <w:r w:rsidRPr="00812EED">
        <w:rPr>
          <w:b/>
        </w:rPr>
        <w:t xml:space="preserve">Class Assignments </w:t>
      </w:r>
      <w:r w:rsidRPr="00812EED">
        <w:t>(Brief descriptions; see Canvas for detailed instructions and grading rubrics)</w:t>
      </w:r>
    </w:p>
    <w:p w:rsidR="00A13F6B" w:rsidRPr="00812EED" w:rsidRDefault="00B22E7A">
      <w:pPr>
        <w:tabs>
          <w:tab w:val="left" w:pos="-720"/>
          <w:tab w:val="left" w:pos="0"/>
        </w:tabs>
        <w:ind w:right="15"/>
        <w:rPr>
          <w:i/>
          <w:color w:val="000000"/>
        </w:rPr>
      </w:pPr>
      <w:r w:rsidRPr="00812EED">
        <w:rPr>
          <w:i/>
          <w:color w:val="000000"/>
        </w:rPr>
        <w:t>All assignments must be typed with pages numbered and submitted electronically via Canvas in .doc or docx format.</w:t>
      </w:r>
    </w:p>
    <w:p w:rsidR="00A13F6B" w:rsidRPr="00812EED" w:rsidRDefault="00A13F6B">
      <w:pPr>
        <w:rPr>
          <w:b/>
        </w:rPr>
      </w:pPr>
    </w:p>
    <w:p w:rsidR="00E925D6" w:rsidRPr="00812EED" w:rsidRDefault="00E925D6" w:rsidP="00E925D6">
      <w:pPr>
        <w:pStyle w:val="ListParagraph"/>
        <w:numPr>
          <w:ilvl w:val="0"/>
          <w:numId w:val="23"/>
        </w:numPr>
        <w:ind w:left="720" w:hanging="720"/>
      </w:pPr>
      <w:bookmarkStart w:id="2" w:name="_30j0zll" w:colFirst="0" w:colLast="0"/>
      <w:bookmarkEnd w:id="2"/>
      <w:r w:rsidRPr="00291480">
        <w:rPr>
          <w:b/>
        </w:rPr>
        <w:t>Exam (20% of final grade)</w:t>
      </w:r>
    </w:p>
    <w:p w:rsidR="00E925D6" w:rsidRPr="00812EED" w:rsidRDefault="00E925D6" w:rsidP="00E925D6">
      <w:pPr>
        <w:ind w:left="720"/>
      </w:pPr>
      <w:r w:rsidRPr="00812EED">
        <w:t>The exam will be</w:t>
      </w:r>
      <w:r>
        <w:t xml:space="preserve"> completed in two parts and</w:t>
      </w:r>
      <w:r w:rsidRPr="00812EED">
        <w:t xml:space="preserve"> comprised of multiple choice and short essay questions to assess students' understanding of key concepts related to the following topics: organizational structures and functions, ethical issues in supervision, intra- and inter-personal skills in organizations, evidence-informed practice, </w:t>
      </w:r>
      <w:r w:rsidRPr="00291480">
        <w:rPr>
          <w:bCs/>
        </w:rPr>
        <w:t>cultural competence and humility, anti-oppressive practice</w:t>
      </w:r>
      <w:r w:rsidRPr="00812EED">
        <w:t xml:space="preserve">, implementation science, inter-agency collaboration, and systems of care.  </w:t>
      </w:r>
    </w:p>
    <w:p w:rsidR="00E925D6" w:rsidRDefault="00E925D6" w:rsidP="00E925D6">
      <w:pPr>
        <w:ind w:firstLine="720"/>
        <w:rPr>
          <w:b/>
        </w:rPr>
      </w:pPr>
    </w:p>
    <w:p w:rsidR="00E925D6" w:rsidRDefault="00E925D6" w:rsidP="00E925D6">
      <w:pPr>
        <w:ind w:firstLine="720"/>
        <w:rPr>
          <w:bCs/>
        </w:rPr>
      </w:pPr>
      <w:r w:rsidRPr="00BA4D95">
        <w:rPr>
          <w:b/>
        </w:rPr>
        <w:t>Due Date:</w:t>
      </w:r>
      <w:r>
        <w:rPr>
          <w:bCs/>
        </w:rPr>
        <w:t xml:space="preserve"> </w:t>
      </w:r>
      <w:r w:rsidRPr="00BA4D95">
        <w:rPr>
          <w:b/>
        </w:rPr>
        <w:t>Part 1: February 23, 2021; Part 2:</w:t>
      </w:r>
      <w:r>
        <w:rPr>
          <w:bCs/>
        </w:rPr>
        <w:t xml:space="preserve"> </w:t>
      </w:r>
      <w:r>
        <w:rPr>
          <w:b/>
        </w:rPr>
        <w:t>April 13, 2021</w:t>
      </w:r>
    </w:p>
    <w:p w:rsidR="00E925D6" w:rsidRPr="00E925D6" w:rsidRDefault="00E925D6" w:rsidP="00E925D6">
      <w:pPr>
        <w:ind w:left="720"/>
      </w:pPr>
    </w:p>
    <w:p w:rsidR="00A13F6B" w:rsidRPr="00812EED" w:rsidRDefault="00B22E7A">
      <w:pPr>
        <w:numPr>
          <w:ilvl w:val="0"/>
          <w:numId w:val="23"/>
        </w:numPr>
        <w:ind w:left="720" w:hanging="720"/>
      </w:pPr>
      <w:r w:rsidRPr="00812EED">
        <w:rPr>
          <w:b/>
        </w:rPr>
        <w:t>Multicultural Organizational Development Assignment (30% of final grade)</w:t>
      </w:r>
    </w:p>
    <w:p w:rsidR="00A13F6B" w:rsidRPr="00812EED" w:rsidRDefault="00B22E7A">
      <w:pPr>
        <w:ind w:left="720"/>
      </w:pPr>
      <w:bookmarkStart w:id="3" w:name="_Hlk60649052"/>
      <w:r w:rsidRPr="00812EED">
        <w:t>Students will work independently to identify and develop a plan for addressing an organizational problem or challenge in a human service organization that affects the effectiveness of client services, with a focus on how this problem or challenge relates to multicultural clinical social work practice and/or marginalization or oppression. Students will describe the steps they would take within the agency to advocate for this plan.</w:t>
      </w:r>
      <w:bookmarkEnd w:id="3"/>
    </w:p>
    <w:p w:rsidR="00A13F6B" w:rsidRPr="00812EED" w:rsidRDefault="00A13F6B">
      <w:pPr>
        <w:ind w:left="720"/>
      </w:pPr>
    </w:p>
    <w:p w:rsidR="00A13F6B" w:rsidRPr="00812EED" w:rsidRDefault="00B22E7A">
      <w:pPr>
        <w:ind w:left="720"/>
        <w:rPr>
          <w:b/>
        </w:rPr>
      </w:pPr>
      <w:r w:rsidRPr="00812EED">
        <w:rPr>
          <w:b/>
        </w:rPr>
        <w:t xml:space="preserve">Due Date: </w:t>
      </w:r>
      <w:r w:rsidR="00BA4D95">
        <w:rPr>
          <w:b/>
        </w:rPr>
        <w:t>March 30, 2021</w:t>
      </w:r>
    </w:p>
    <w:p w:rsidR="00BA4D95" w:rsidRPr="00BA4D95" w:rsidRDefault="00BA4D95">
      <w:pPr>
        <w:ind w:firstLine="720"/>
        <w:rPr>
          <w:bCs/>
        </w:rPr>
      </w:pPr>
    </w:p>
    <w:p w:rsidR="00A13F6B" w:rsidRPr="00812EED" w:rsidRDefault="00B22E7A">
      <w:pPr>
        <w:rPr>
          <w:b/>
        </w:rPr>
      </w:pPr>
      <w:r w:rsidRPr="00812EED">
        <w:rPr>
          <w:b/>
        </w:rPr>
        <w:t xml:space="preserve"> 3. </w:t>
      </w:r>
      <w:r w:rsidRPr="00812EED">
        <w:rPr>
          <w:b/>
        </w:rPr>
        <w:tab/>
        <w:t xml:space="preserve">Program Proposal Assignment (35% of final grade)  </w:t>
      </w:r>
    </w:p>
    <w:p w:rsidR="00A13F6B" w:rsidRPr="00812EED" w:rsidRDefault="00B22E7A">
      <w:pPr>
        <w:tabs>
          <w:tab w:val="left" w:pos="0"/>
        </w:tabs>
        <w:ind w:left="720" w:hanging="720"/>
      </w:pPr>
      <w:bookmarkStart w:id="4" w:name="_1fob9te" w:colFirst="0" w:colLast="0"/>
      <w:bookmarkEnd w:id="4"/>
      <w:r w:rsidRPr="00812EED">
        <w:rPr>
          <w:b/>
        </w:rPr>
        <w:t xml:space="preserve"> </w:t>
      </w:r>
      <w:r w:rsidRPr="00812EED">
        <w:rPr>
          <w:b/>
        </w:rPr>
        <w:tab/>
      </w:r>
      <w:r w:rsidRPr="00812EED">
        <w:t xml:space="preserve">Students will work in groups to develop a proposal for a new program or intervention to better achieve client outcomes </w:t>
      </w:r>
      <w:r w:rsidR="002F53BD">
        <w:t>through</w:t>
      </w:r>
      <w:r w:rsidRPr="00812EED">
        <w:t xml:space="preserve"> a group member’s field agency</w:t>
      </w:r>
      <w:r w:rsidR="002F53BD">
        <w:t xml:space="preserve"> or other organization</w:t>
      </w:r>
      <w:r w:rsidRPr="00812EED">
        <w:t>. The proposal should describe ways in which the new program or intervention will strengthen multicultural and anti-oppressive practice within the agency</w:t>
      </w:r>
      <w:r w:rsidR="002F53BD">
        <w:t xml:space="preserve"> or community</w:t>
      </w:r>
      <w:r w:rsidRPr="00812EED">
        <w:t xml:space="preserve">. The proposal will include the following elements: need, intervention or program description, outcome objectives, theory of change, and evaluation plan. Groups will also identify sources of financial and non-financial support needed for this program and outline a plan for securing these resources within and/or outside of the agency.  Each group will submit an outline of key proposal elements and ideas to and ask for feedback from an agency staff member. This feedback should be </w:t>
      </w:r>
      <w:r w:rsidR="00E925D6">
        <w:t>received</w:t>
      </w:r>
      <w:r w:rsidRPr="00812EED">
        <w:t xml:space="preserve"> no later than </w:t>
      </w:r>
      <w:r w:rsidR="00E925D6">
        <w:rPr>
          <w:b/>
        </w:rPr>
        <w:t xml:space="preserve">April </w:t>
      </w:r>
      <w:r w:rsidR="00FF76CD">
        <w:rPr>
          <w:b/>
        </w:rPr>
        <w:t>9</w:t>
      </w:r>
      <w:r w:rsidR="00E925D6">
        <w:rPr>
          <w:b/>
        </w:rPr>
        <w:t>, 2021</w:t>
      </w:r>
      <w:r w:rsidRPr="00812EED">
        <w:t>, summarized by the group, and used to strengthen the full and final proposal.</w:t>
      </w:r>
    </w:p>
    <w:p w:rsidR="00A13F6B" w:rsidRPr="00812EED" w:rsidRDefault="00A13F6B">
      <w:pPr>
        <w:tabs>
          <w:tab w:val="left" w:pos="0"/>
        </w:tabs>
        <w:ind w:left="720" w:hanging="720"/>
      </w:pPr>
    </w:p>
    <w:p w:rsidR="00A13F6B" w:rsidRPr="00812EED" w:rsidRDefault="00B22E7A">
      <w:pPr>
        <w:ind w:left="720"/>
        <w:rPr>
          <w:b/>
        </w:rPr>
      </w:pPr>
      <w:r w:rsidRPr="00812EED">
        <w:rPr>
          <w:b/>
        </w:rPr>
        <w:t xml:space="preserve">Due Date: </w:t>
      </w:r>
      <w:r w:rsidR="00BA4D95">
        <w:rPr>
          <w:b/>
        </w:rPr>
        <w:t>April 30, 2021</w:t>
      </w:r>
    </w:p>
    <w:p w:rsidR="00A13F6B" w:rsidRPr="00812EED" w:rsidRDefault="00A13F6B">
      <w:pPr>
        <w:tabs>
          <w:tab w:val="left" w:pos="0"/>
        </w:tabs>
        <w:ind w:left="720" w:hanging="720"/>
      </w:pPr>
    </w:p>
    <w:p w:rsidR="00A13F6B" w:rsidRPr="00812EED" w:rsidRDefault="00B22E7A">
      <w:pPr>
        <w:rPr>
          <w:b/>
        </w:rPr>
      </w:pPr>
      <w:r w:rsidRPr="00812EED">
        <w:rPr>
          <w:b/>
        </w:rPr>
        <w:t xml:space="preserve">4. </w:t>
      </w:r>
      <w:r w:rsidRPr="00812EED">
        <w:rPr>
          <w:b/>
        </w:rPr>
        <w:tab/>
        <w:t xml:space="preserve">Class Participation (15% of final grade)  </w:t>
      </w:r>
    </w:p>
    <w:p w:rsidR="00A13F6B" w:rsidRPr="00E925D6" w:rsidRDefault="00B22E7A">
      <w:pPr>
        <w:ind w:left="720"/>
        <w:rPr>
          <w:u w:val="single"/>
        </w:rPr>
      </w:pPr>
      <w:r w:rsidRPr="00812EED">
        <w:t xml:space="preserve">Participation points will be awarded based on </w:t>
      </w:r>
      <w:r w:rsidR="00CF572B">
        <w:t xml:space="preserve">class attendance (see below for details) and </w:t>
      </w:r>
      <w:r w:rsidRPr="00812EED">
        <w:t xml:space="preserve">instructor, peer and self-assessment concerning the extent to which the student a) was prepared for class having completed the assigned readings and other assignments; b) made active and thoughtful contributions to class discussions and learning activities; and c) contributed to a positive and constructive learning environment by engaging with, listening to, and respecting other students and </w:t>
      </w:r>
      <w:r w:rsidRPr="00812EED">
        <w:rPr>
          <w:u w:val="single"/>
        </w:rPr>
        <w:t>not</w:t>
      </w:r>
      <w:r w:rsidRPr="00812EED">
        <w:t xml:space="preserve"> dominating class discussions, disrupting others’ opportunity to listen and/or participate, and/or making negative, offensive, and/or disrespectful comments. Peer assessment will be conducted anonymously through assigned learning teams. </w:t>
      </w:r>
      <w:r w:rsidR="00E925D6">
        <w:rPr>
          <w:u w:val="single"/>
        </w:rPr>
        <w:t>Please see Canvas for specific expectations regarding class attendance and engagement in the online learning environment</w:t>
      </w:r>
      <w:r w:rsidR="00E925D6" w:rsidRPr="00E925D6">
        <w:t>.</w:t>
      </w:r>
    </w:p>
    <w:p w:rsidR="00A13F6B" w:rsidRPr="00812EED" w:rsidRDefault="00A13F6B">
      <w:pPr>
        <w:ind w:left="720"/>
        <w:rPr>
          <w:b/>
        </w:rPr>
      </w:pPr>
    </w:p>
    <w:p w:rsidR="00A13F6B" w:rsidRPr="00812EED" w:rsidRDefault="00B22E7A">
      <w:pPr>
        <w:ind w:left="720"/>
        <w:rPr>
          <w:b/>
        </w:rPr>
      </w:pPr>
      <w:r w:rsidRPr="00812EED">
        <w:rPr>
          <w:b/>
        </w:rPr>
        <w:t>Due Date: Ongoing</w:t>
      </w:r>
    </w:p>
    <w:p w:rsidR="00A13F6B" w:rsidRPr="00812EED" w:rsidRDefault="00A13F6B">
      <w:pPr>
        <w:ind w:right="15"/>
        <w:rPr>
          <w:b/>
          <w:color w:val="000000"/>
        </w:rPr>
      </w:pPr>
    </w:p>
    <w:p w:rsidR="00A13F6B" w:rsidRPr="00812EED" w:rsidRDefault="00B22E7A">
      <w:pPr>
        <w:ind w:right="15"/>
        <w:rPr>
          <w:b/>
          <w:color w:val="000000"/>
        </w:rPr>
      </w:pPr>
      <w:r w:rsidRPr="00812EED">
        <w:rPr>
          <w:b/>
          <w:color w:val="000000"/>
        </w:rPr>
        <w:t>Assignment Policies</w:t>
      </w:r>
    </w:p>
    <w:p w:rsidR="00A13F6B" w:rsidRPr="00812EED" w:rsidRDefault="00B22E7A">
      <w:pPr>
        <w:tabs>
          <w:tab w:val="left" w:pos="-720"/>
          <w:tab w:val="left" w:pos="0"/>
        </w:tabs>
        <w:ind w:right="15"/>
        <w:rPr>
          <w:color w:val="000000"/>
        </w:rPr>
      </w:pPr>
      <w:r w:rsidRPr="00812EED">
        <w:rPr>
          <w:color w:val="000000"/>
        </w:rPr>
        <w:tab/>
        <w:t xml:space="preserve">Assignments should be turned in via Canvas by the due date listed on the syllabus. A late penalty of 5% per day (including weekends) will be assessed for assignments not turned in by 11:59pm on the due date. If an initial review of your assignment indicates major problems with your writing and/or your assignment is missing required content, the paper will be returned ungraded for revision, and your grade will be lowered by up to 30 points. A grade of “Incomplete” is only given in unusual circumstances when a student is unable to complete course requirements by the end of the term due to extenuating circumstances beyond the student’s control based on the instructor’s assessment and determination. </w:t>
      </w:r>
    </w:p>
    <w:p w:rsidR="00A13F6B" w:rsidRPr="00812EED" w:rsidRDefault="00A13F6B">
      <w:pPr>
        <w:rPr>
          <w:b/>
        </w:rPr>
      </w:pPr>
    </w:p>
    <w:p w:rsidR="00A13F6B" w:rsidRPr="00812EED" w:rsidRDefault="00B22E7A">
      <w:pPr>
        <w:rPr>
          <w:b/>
        </w:rPr>
      </w:pPr>
      <w:r w:rsidRPr="00812EED">
        <w:rPr>
          <w:b/>
        </w:rPr>
        <w:t>Grading</w:t>
      </w:r>
    </w:p>
    <w:p w:rsidR="00A13F6B" w:rsidRPr="00812EED" w:rsidRDefault="00A13F6B"/>
    <w:tbl>
      <w:tblPr>
        <w:tblStyle w:val="a3"/>
        <w:tblW w:w="893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7"/>
        <w:gridCol w:w="1350"/>
        <w:gridCol w:w="1350"/>
        <w:gridCol w:w="1670"/>
      </w:tblGrid>
      <w:tr w:rsidR="00A13F6B" w:rsidRPr="00812EED">
        <w:tc>
          <w:tcPr>
            <w:tcW w:w="4567" w:type="dxa"/>
            <w:tcBorders>
              <w:top w:val="single" w:sz="4" w:space="0" w:color="000000"/>
              <w:left w:val="single" w:sz="4" w:space="0" w:color="000000"/>
              <w:bottom w:val="single" w:sz="4" w:space="0" w:color="000000"/>
              <w:right w:val="single" w:sz="4" w:space="0" w:color="000000"/>
            </w:tcBorders>
          </w:tcPr>
          <w:p w:rsidR="00A13F6B" w:rsidRPr="00812EED" w:rsidRDefault="00B22E7A">
            <w:pPr>
              <w:rPr>
                <w:b/>
              </w:rPr>
            </w:pPr>
            <w:r w:rsidRPr="00812EED">
              <w:rPr>
                <w:b/>
              </w:rPr>
              <w:t>Assignment</w:t>
            </w:r>
          </w:p>
        </w:tc>
        <w:tc>
          <w:tcPr>
            <w:tcW w:w="1350" w:type="dxa"/>
            <w:tcBorders>
              <w:top w:val="single" w:sz="4" w:space="0" w:color="000000"/>
              <w:left w:val="single" w:sz="4" w:space="0" w:color="000000"/>
              <w:bottom w:val="single" w:sz="4" w:space="0" w:color="000000"/>
              <w:right w:val="single" w:sz="4" w:space="0" w:color="000000"/>
            </w:tcBorders>
          </w:tcPr>
          <w:p w:rsidR="00A13F6B" w:rsidRPr="00812EED" w:rsidRDefault="00B22E7A">
            <w:pPr>
              <w:jc w:val="center"/>
              <w:rPr>
                <w:b/>
              </w:rPr>
            </w:pPr>
            <w:r w:rsidRPr="00812EED">
              <w:rPr>
                <w:b/>
              </w:rPr>
              <w:t>Points</w:t>
            </w:r>
          </w:p>
        </w:tc>
        <w:tc>
          <w:tcPr>
            <w:tcW w:w="1350" w:type="dxa"/>
            <w:tcBorders>
              <w:top w:val="single" w:sz="4" w:space="0" w:color="000000"/>
              <w:left w:val="single" w:sz="4" w:space="0" w:color="000000"/>
              <w:bottom w:val="single" w:sz="4" w:space="0" w:color="000000"/>
              <w:right w:val="single" w:sz="4" w:space="0" w:color="000000"/>
            </w:tcBorders>
          </w:tcPr>
          <w:p w:rsidR="00A13F6B" w:rsidRPr="00812EED" w:rsidRDefault="00B22E7A">
            <w:pPr>
              <w:jc w:val="center"/>
              <w:rPr>
                <w:b/>
              </w:rPr>
            </w:pPr>
            <w:r w:rsidRPr="00812EED">
              <w:rPr>
                <w:b/>
              </w:rPr>
              <w:t>% of Final Grade</w:t>
            </w:r>
          </w:p>
        </w:tc>
        <w:tc>
          <w:tcPr>
            <w:tcW w:w="1670" w:type="dxa"/>
            <w:tcBorders>
              <w:top w:val="single" w:sz="4" w:space="0" w:color="000000"/>
              <w:left w:val="single" w:sz="4" w:space="0" w:color="000000"/>
              <w:bottom w:val="single" w:sz="4" w:space="0" w:color="000000"/>
              <w:right w:val="single" w:sz="4" w:space="0" w:color="000000"/>
            </w:tcBorders>
          </w:tcPr>
          <w:p w:rsidR="00A13F6B" w:rsidRPr="00812EED" w:rsidRDefault="00B22E7A">
            <w:pPr>
              <w:jc w:val="center"/>
              <w:rPr>
                <w:b/>
              </w:rPr>
            </w:pPr>
            <w:r w:rsidRPr="00812EED">
              <w:rPr>
                <w:b/>
              </w:rPr>
              <w:t>Due Date</w:t>
            </w:r>
          </w:p>
        </w:tc>
      </w:tr>
      <w:tr w:rsidR="00E925D6" w:rsidRPr="00812EED" w:rsidTr="00FB45B9">
        <w:tc>
          <w:tcPr>
            <w:tcW w:w="4567" w:type="dxa"/>
            <w:tcBorders>
              <w:top w:val="single" w:sz="4" w:space="0" w:color="000000"/>
              <w:left w:val="single" w:sz="4" w:space="0" w:color="000000"/>
              <w:bottom w:val="single" w:sz="4" w:space="0" w:color="000000"/>
              <w:right w:val="single" w:sz="4" w:space="0" w:color="000000"/>
            </w:tcBorders>
          </w:tcPr>
          <w:p w:rsidR="00E925D6" w:rsidRPr="00812EED" w:rsidRDefault="00E925D6" w:rsidP="00FB45B9">
            <w:r w:rsidRPr="00812EED">
              <w:t>Exam</w:t>
            </w:r>
          </w:p>
        </w:tc>
        <w:tc>
          <w:tcPr>
            <w:tcW w:w="1350" w:type="dxa"/>
            <w:tcBorders>
              <w:top w:val="single" w:sz="4" w:space="0" w:color="000000"/>
              <w:left w:val="single" w:sz="4" w:space="0" w:color="000000"/>
              <w:bottom w:val="single" w:sz="4" w:space="0" w:color="000000"/>
              <w:right w:val="single" w:sz="4" w:space="0" w:color="000000"/>
            </w:tcBorders>
          </w:tcPr>
          <w:p w:rsidR="00E925D6" w:rsidRPr="00812EED" w:rsidRDefault="00E925D6" w:rsidP="00FB45B9">
            <w:pPr>
              <w:jc w:val="center"/>
            </w:pPr>
            <w:r w:rsidRPr="00812EED">
              <w:t>200</w:t>
            </w:r>
          </w:p>
        </w:tc>
        <w:tc>
          <w:tcPr>
            <w:tcW w:w="1350" w:type="dxa"/>
            <w:tcBorders>
              <w:top w:val="single" w:sz="4" w:space="0" w:color="000000"/>
              <w:left w:val="single" w:sz="4" w:space="0" w:color="000000"/>
              <w:bottom w:val="single" w:sz="4" w:space="0" w:color="000000"/>
              <w:right w:val="single" w:sz="4" w:space="0" w:color="000000"/>
            </w:tcBorders>
          </w:tcPr>
          <w:p w:rsidR="00E925D6" w:rsidRPr="00812EED" w:rsidRDefault="00E925D6" w:rsidP="00FB45B9">
            <w:pPr>
              <w:jc w:val="center"/>
            </w:pPr>
            <w:r w:rsidRPr="00812EED">
              <w:t>20%</w:t>
            </w:r>
          </w:p>
        </w:tc>
        <w:tc>
          <w:tcPr>
            <w:tcW w:w="1670" w:type="dxa"/>
            <w:tcBorders>
              <w:top w:val="single" w:sz="4" w:space="0" w:color="000000"/>
              <w:left w:val="single" w:sz="4" w:space="0" w:color="000000"/>
              <w:bottom w:val="single" w:sz="4" w:space="0" w:color="000000"/>
              <w:right w:val="single" w:sz="4" w:space="0" w:color="000000"/>
            </w:tcBorders>
          </w:tcPr>
          <w:p w:rsidR="00E925D6" w:rsidRDefault="00E925D6" w:rsidP="00FB45B9">
            <w:pPr>
              <w:jc w:val="center"/>
            </w:pPr>
            <w:r>
              <w:t>Part 1: 2/23/21</w:t>
            </w:r>
          </w:p>
          <w:p w:rsidR="00E925D6" w:rsidRPr="00812EED" w:rsidRDefault="00E925D6" w:rsidP="00FB45B9">
            <w:r>
              <w:lastRenderedPageBreak/>
              <w:t>Part 2: 4/13/21</w:t>
            </w:r>
          </w:p>
        </w:tc>
      </w:tr>
      <w:tr w:rsidR="00A13F6B" w:rsidRPr="00812EED">
        <w:tc>
          <w:tcPr>
            <w:tcW w:w="4567" w:type="dxa"/>
            <w:tcBorders>
              <w:top w:val="single" w:sz="4" w:space="0" w:color="000000"/>
              <w:left w:val="single" w:sz="4" w:space="0" w:color="000000"/>
              <w:bottom w:val="single" w:sz="4" w:space="0" w:color="000000"/>
              <w:right w:val="single" w:sz="4" w:space="0" w:color="000000"/>
            </w:tcBorders>
          </w:tcPr>
          <w:p w:rsidR="00A13F6B" w:rsidRPr="00812EED" w:rsidRDefault="00B22E7A">
            <w:pPr>
              <w:rPr>
                <w:b/>
              </w:rPr>
            </w:pPr>
            <w:r w:rsidRPr="00812EED">
              <w:lastRenderedPageBreak/>
              <w:t>Multicultural Organizational Development Assignment</w:t>
            </w:r>
          </w:p>
        </w:tc>
        <w:tc>
          <w:tcPr>
            <w:tcW w:w="1350" w:type="dxa"/>
            <w:tcBorders>
              <w:top w:val="single" w:sz="4" w:space="0" w:color="000000"/>
              <w:left w:val="single" w:sz="4" w:space="0" w:color="000000"/>
              <w:bottom w:val="single" w:sz="4" w:space="0" w:color="000000"/>
              <w:right w:val="single" w:sz="4" w:space="0" w:color="000000"/>
            </w:tcBorders>
          </w:tcPr>
          <w:p w:rsidR="00A13F6B" w:rsidRPr="00812EED" w:rsidRDefault="00B22E7A">
            <w:pPr>
              <w:jc w:val="center"/>
            </w:pPr>
            <w:r w:rsidRPr="00812EED">
              <w:t>300</w:t>
            </w:r>
          </w:p>
        </w:tc>
        <w:tc>
          <w:tcPr>
            <w:tcW w:w="1350" w:type="dxa"/>
            <w:tcBorders>
              <w:top w:val="single" w:sz="4" w:space="0" w:color="000000"/>
              <w:left w:val="single" w:sz="4" w:space="0" w:color="000000"/>
              <w:bottom w:val="single" w:sz="4" w:space="0" w:color="000000"/>
              <w:right w:val="single" w:sz="4" w:space="0" w:color="000000"/>
            </w:tcBorders>
          </w:tcPr>
          <w:p w:rsidR="00A13F6B" w:rsidRPr="00812EED" w:rsidRDefault="00B22E7A">
            <w:pPr>
              <w:jc w:val="center"/>
            </w:pPr>
            <w:r w:rsidRPr="00812EED">
              <w:t>30%</w:t>
            </w:r>
          </w:p>
        </w:tc>
        <w:tc>
          <w:tcPr>
            <w:tcW w:w="1670" w:type="dxa"/>
            <w:tcBorders>
              <w:top w:val="single" w:sz="4" w:space="0" w:color="000000"/>
              <w:left w:val="single" w:sz="4" w:space="0" w:color="000000"/>
              <w:bottom w:val="single" w:sz="4" w:space="0" w:color="000000"/>
              <w:right w:val="single" w:sz="4" w:space="0" w:color="000000"/>
            </w:tcBorders>
          </w:tcPr>
          <w:p w:rsidR="00A13F6B" w:rsidRPr="00812EED" w:rsidRDefault="00E925D6">
            <w:pPr>
              <w:jc w:val="center"/>
            </w:pPr>
            <w:r>
              <w:t>3/30/21</w:t>
            </w:r>
          </w:p>
        </w:tc>
      </w:tr>
      <w:tr w:rsidR="00A13F6B" w:rsidRPr="00812EED">
        <w:tc>
          <w:tcPr>
            <w:tcW w:w="4567" w:type="dxa"/>
            <w:tcBorders>
              <w:top w:val="single" w:sz="4" w:space="0" w:color="000000"/>
              <w:left w:val="single" w:sz="4" w:space="0" w:color="000000"/>
              <w:bottom w:val="single" w:sz="4" w:space="0" w:color="000000"/>
              <w:right w:val="single" w:sz="4" w:space="0" w:color="000000"/>
            </w:tcBorders>
          </w:tcPr>
          <w:p w:rsidR="00A13F6B" w:rsidRPr="00812EED" w:rsidRDefault="00B22E7A">
            <w:pPr>
              <w:ind w:left="522" w:hanging="540"/>
            </w:pPr>
            <w:r w:rsidRPr="00812EED">
              <w:t>Program Proposal Assignment</w:t>
            </w:r>
          </w:p>
        </w:tc>
        <w:tc>
          <w:tcPr>
            <w:tcW w:w="1350" w:type="dxa"/>
            <w:tcBorders>
              <w:top w:val="single" w:sz="4" w:space="0" w:color="000000"/>
              <w:left w:val="single" w:sz="4" w:space="0" w:color="000000"/>
              <w:bottom w:val="single" w:sz="4" w:space="0" w:color="000000"/>
              <w:right w:val="single" w:sz="4" w:space="0" w:color="000000"/>
            </w:tcBorders>
          </w:tcPr>
          <w:p w:rsidR="00A13F6B" w:rsidRPr="00812EED" w:rsidRDefault="00B22E7A">
            <w:pPr>
              <w:jc w:val="center"/>
            </w:pPr>
            <w:r w:rsidRPr="00812EED">
              <w:t>350</w:t>
            </w:r>
          </w:p>
        </w:tc>
        <w:tc>
          <w:tcPr>
            <w:tcW w:w="1350" w:type="dxa"/>
            <w:tcBorders>
              <w:top w:val="single" w:sz="4" w:space="0" w:color="000000"/>
              <w:left w:val="single" w:sz="4" w:space="0" w:color="000000"/>
              <w:bottom w:val="single" w:sz="4" w:space="0" w:color="000000"/>
              <w:right w:val="single" w:sz="4" w:space="0" w:color="000000"/>
            </w:tcBorders>
          </w:tcPr>
          <w:p w:rsidR="00A13F6B" w:rsidRPr="00812EED" w:rsidRDefault="00B22E7A">
            <w:pPr>
              <w:jc w:val="center"/>
            </w:pPr>
            <w:r w:rsidRPr="00812EED">
              <w:t>35%</w:t>
            </w:r>
          </w:p>
        </w:tc>
        <w:tc>
          <w:tcPr>
            <w:tcW w:w="1670" w:type="dxa"/>
            <w:tcBorders>
              <w:top w:val="single" w:sz="4" w:space="0" w:color="000000"/>
              <w:left w:val="single" w:sz="4" w:space="0" w:color="000000"/>
              <w:bottom w:val="single" w:sz="4" w:space="0" w:color="000000"/>
              <w:right w:val="single" w:sz="4" w:space="0" w:color="000000"/>
            </w:tcBorders>
          </w:tcPr>
          <w:p w:rsidR="00A13F6B" w:rsidRPr="00812EED" w:rsidRDefault="00E925D6">
            <w:pPr>
              <w:jc w:val="center"/>
            </w:pPr>
            <w:r>
              <w:t>4/30/21</w:t>
            </w:r>
          </w:p>
        </w:tc>
      </w:tr>
      <w:tr w:rsidR="00A13F6B" w:rsidRPr="00812EED">
        <w:tc>
          <w:tcPr>
            <w:tcW w:w="4567" w:type="dxa"/>
            <w:tcBorders>
              <w:top w:val="single" w:sz="4" w:space="0" w:color="000000"/>
              <w:left w:val="single" w:sz="4" w:space="0" w:color="000000"/>
              <w:bottom w:val="single" w:sz="4" w:space="0" w:color="000000"/>
              <w:right w:val="single" w:sz="4" w:space="0" w:color="000000"/>
            </w:tcBorders>
          </w:tcPr>
          <w:p w:rsidR="00A13F6B" w:rsidRPr="00812EED" w:rsidRDefault="00B22E7A">
            <w:pPr>
              <w:ind w:left="522" w:hanging="540"/>
            </w:pPr>
            <w:r w:rsidRPr="00812EED">
              <w:t xml:space="preserve">Class Participation </w:t>
            </w:r>
          </w:p>
        </w:tc>
        <w:tc>
          <w:tcPr>
            <w:tcW w:w="1350" w:type="dxa"/>
            <w:tcBorders>
              <w:top w:val="single" w:sz="4" w:space="0" w:color="000000"/>
              <w:left w:val="single" w:sz="4" w:space="0" w:color="000000"/>
              <w:bottom w:val="single" w:sz="4" w:space="0" w:color="000000"/>
              <w:right w:val="single" w:sz="4" w:space="0" w:color="000000"/>
            </w:tcBorders>
          </w:tcPr>
          <w:p w:rsidR="00A13F6B" w:rsidRPr="00812EED" w:rsidRDefault="00B22E7A">
            <w:pPr>
              <w:jc w:val="center"/>
            </w:pPr>
            <w:r w:rsidRPr="00812EED">
              <w:t>150</w:t>
            </w:r>
          </w:p>
        </w:tc>
        <w:tc>
          <w:tcPr>
            <w:tcW w:w="1350" w:type="dxa"/>
            <w:tcBorders>
              <w:top w:val="single" w:sz="4" w:space="0" w:color="000000"/>
              <w:left w:val="single" w:sz="4" w:space="0" w:color="000000"/>
              <w:bottom w:val="single" w:sz="4" w:space="0" w:color="000000"/>
              <w:right w:val="single" w:sz="4" w:space="0" w:color="000000"/>
            </w:tcBorders>
          </w:tcPr>
          <w:p w:rsidR="00A13F6B" w:rsidRPr="00812EED" w:rsidRDefault="00B22E7A">
            <w:pPr>
              <w:jc w:val="center"/>
            </w:pPr>
            <w:r w:rsidRPr="00812EED">
              <w:t>15%</w:t>
            </w:r>
          </w:p>
        </w:tc>
        <w:tc>
          <w:tcPr>
            <w:tcW w:w="1670" w:type="dxa"/>
            <w:tcBorders>
              <w:top w:val="single" w:sz="4" w:space="0" w:color="000000"/>
              <w:left w:val="single" w:sz="4" w:space="0" w:color="000000"/>
              <w:bottom w:val="single" w:sz="4" w:space="0" w:color="000000"/>
              <w:right w:val="single" w:sz="4" w:space="0" w:color="000000"/>
            </w:tcBorders>
          </w:tcPr>
          <w:p w:rsidR="00A13F6B" w:rsidRPr="00812EED" w:rsidRDefault="00B22E7A">
            <w:pPr>
              <w:jc w:val="center"/>
            </w:pPr>
            <w:r w:rsidRPr="00812EED">
              <w:t>Ongoing</w:t>
            </w:r>
          </w:p>
        </w:tc>
      </w:tr>
      <w:tr w:rsidR="00A13F6B" w:rsidRPr="00812EED">
        <w:tc>
          <w:tcPr>
            <w:tcW w:w="4567" w:type="dxa"/>
            <w:tcBorders>
              <w:top w:val="single" w:sz="4" w:space="0" w:color="000000"/>
              <w:left w:val="single" w:sz="4" w:space="0" w:color="000000"/>
              <w:bottom w:val="single" w:sz="4" w:space="0" w:color="000000"/>
              <w:right w:val="single" w:sz="4" w:space="0" w:color="000000"/>
            </w:tcBorders>
          </w:tcPr>
          <w:p w:rsidR="00A13F6B" w:rsidRPr="00812EED" w:rsidRDefault="00B22E7A">
            <w:pPr>
              <w:rPr>
                <w:b/>
              </w:rPr>
            </w:pPr>
            <w:r w:rsidRPr="00812EED">
              <w:rPr>
                <w:b/>
              </w:rPr>
              <w:t>Total</w:t>
            </w:r>
          </w:p>
        </w:tc>
        <w:tc>
          <w:tcPr>
            <w:tcW w:w="1350" w:type="dxa"/>
            <w:tcBorders>
              <w:top w:val="single" w:sz="4" w:space="0" w:color="000000"/>
              <w:left w:val="single" w:sz="4" w:space="0" w:color="000000"/>
              <w:bottom w:val="single" w:sz="4" w:space="0" w:color="000000"/>
              <w:right w:val="single" w:sz="4" w:space="0" w:color="000000"/>
            </w:tcBorders>
          </w:tcPr>
          <w:p w:rsidR="00A13F6B" w:rsidRPr="00812EED" w:rsidRDefault="00A13F6B">
            <w:pPr>
              <w:jc w:val="center"/>
              <w:rPr>
                <w:b/>
              </w:rPr>
            </w:pPr>
          </w:p>
        </w:tc>
        <w:tc>
          <w:tcPr>
            <w:tcW w:w="1350" w:type="dxa"/>
            <w:tcBorders>
              <w:top w:val="single" w:sz="4" w:space="0" w:color="000000"/>
              <w:left w:val="single" w:sz="4" w:space="0" w:color="000000"/>
              <w:bottom w:val="single" w:sz="4" w:space="0" w:color="000000"/>
              <w:right w:val="single" w:sz="4" w:space="0" w:color="000000"/>
            </w:tcBorders>
          </w:tcPr>
          <w:p w:rsidR="00A13F6B" w:rsidRPr="00812EED" w:rsidRDefault="00B22E7A">
            <w:pPr>
              <w:jc w:val="center"/>
              <w:rPr>
                <w:b/>
              </w:rPr>
            </w:pPr>
            <w:r w:rsidRPr="00812EED">
              <w:rPr>
                <w:b/>
              </w:rPr>
              <w:t>100%</w:t>
            </w:r>
          </w:p>
        </w:tc>
        <w:tc>
          <w:tcPr>
            <w:tcW w:w="1670" w:type="dxa"/>
            <w:tcBorders>
              <w:top w:val="single" w:sz="4" w:space="0" w:color="000000"/>
              <w:left w:val="single" w:sz="4" w:space="0" w:color="000000"/>
              <w:bottom w:val="single" w:sz="4" w:space="0" w:color="000000"/>
              <w:right w:val="single" w:sz="4" w:space="0" w:color="000000"/>
            </w:tcBorders>
          </w:tcPr>
          <w:p w:rsidR="00A13F6B" w:rsidRPr="00812EED" w:rsidRDefault="00A13F6B">
            <w:pPr>
              <w:jc w:val="center"/>
              <w:rPr>
                <w:b/>
              </w:rPr>
            </w:pPr>
          </w:p>
        </w:tc>
      </w:tr>
    </w:tbl>
    <w:p w:rsidR="00A13F6B" w:rsidRPr="00812EED" w:rsidRDefault="00A13F6B">
      <w:pPr>
        <w:rPr>
          <w:b/>
        </w:rPr>
      </w:pPr>
    </w:p>
    <w:p w:rsidR="00A13F6B" w:rsidRPr="00812EED" w:rsidRDefault="00B22E7A">
      <w:pPr>
        <w:ind w:left="-5" w:right="15" w:hanging="10"/>
        <w:rPr>
          <w:b/>
          <w:i/>
          <w:color w:val="000000"/>
        </w:rPr>
      </w:pPr>
      <w:r w:rsidRPr="00812EED">
        <w:rPr>
          <w:b/>
          <w:i/>
          <w:color w:val="000000"/>
        </w:rPr>
        <w:t>Grading Scale Followed in All JMSW Courses:</w:t>
      </w:r>
    </w:p>
    <w:p w:rsidR="00A13F6B" w:rsidRPr="00812EED" w:rsidRDefault="00A13F6B">
      <w:pPr>
        <w:ind w:left="-5" w:right="15" w:hanging="10"/>
        <w:rPr>
          <w:b/>
          <w:color w:val="000000"/>
        </w:rPr>
      </w:pPr>
    </w:p>
    <w:tbl>
      <w:tblPr>
        <w:tblStyle w:val="a4"/>
        <w:tblW w:w="3420"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1530"/>
      </w:tblGrid>
      <w:tr w:rsidR="00A13F6B" w:rsidRPr="00812EED">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A13F6B" w:rsidRPr="00812EED" w:rsidRDefault="00B22E7A">
            <w:pPr>
              <w:ind w:left="-5" w:right="15" w:hanging="10"/>
              <w:rPr>
                <w:b/>
                <w:i/>
                <w:color w:val="000000"/>
              </w:rPr>
            </w:pPr>
            <w:r w:rsidRPr="00812EED">
              <w:rPr>
                <w:b/>
                <w:i/>
              </w:rPr>
              <w:t xml:space="preserve">Letter Grade </w:t>
            </w:r>
          </w:p>
        </w:tc>
        <w:tc>
          <w:tcPr>
            <w:tcW w:w="1530" w:type="dxa"/>
            <w:tcBorders>
              <w:top w:val="single" w:sz="8" w:space="0" w:color="000000"/>
              <w:left w:val="nil"/>
              <w:bottom w:val="single" w:sz="8" w:space="0" w:color="000000"/>
              <w:right w:val="single" w:sz="8" w:space="0" w:color="000000"/>
            </w:tcBorders>
            <w:shd w:val="clear" w:color="auto" w:fill="auto"/>
          </w:tcPr>
          <w:p w:rsidR="00A13F6B" w:rsidRPr="00812EED" w:rsidRDefault="00B22E7A">
            <w:pPr>
              <w:ind w:left="-5" w:right="15" w:hanging="10"/>
              <w:rPr>
                <w:b/>
                <w:i/>
                <w:color w:val="000000"/>
              </w:rPr>
            </w:pPr>
            <w:r w:rsidRPr="00812EED">
              <w:rPr>
                <w:b/>
                <w:i/>
              </w:rPr>
              <w:t>%</w:t>
            </w:r>
          </w:p>
        </w:tc>
      </w:tr>
      <w:tr w:rsidR="00A13F6B" w:rsidRPr="00812EED">
        <w:tc>
          <w:tcPr>
            <w:tcW w:w="1890" w:type="dxa"/>
            <w:tcBorders>
              <w:top w:val="nil"/>
              <w:left w:val="single" w:sz="8" w:space="0" w:color="000000"/>
              <w:bottom w:val="single" w:sz="8" w:space="0" w:color="000000"/>
              <w:right w:val="single" w:sz="8" w:space="0" w:color="000000"/>
            </w:tcBorders>
            <w:shd w:val="clear" w:color="auto" w:fill="auto"/>
          </w:tcPr>
          <w:p w:rsidR="00A13F6B" w:rsidRPr="00812EED" w:rsidRDefault="00B22E7A">
            <w:pPr>
              <w:ind w:left="-5" w:right="15" w:hanging="10"/>
              <w:rPr>
                <w:color w:val="000000"/>
              </w:rPr>
            </w:pPr>
            <w:r w:rsidRPr="00812EED">
              <w:t>A</w:t>
            </w:r>
          </w:p>
        </w:tc>
        <w:tc>
          <w:tcPr>
            <w:tcW w:w="1530" w:type="dxa"/>
            <w:tcBorders>
              <w:top w:val="nil"/>
              <w:left w:val="nil"/>
              <w:bottom w:val="single" w:sz="8" w:space="0" w:color="000000"/>
              <w:right w:val="single" w:sz="8" w:space="0" w:color="000000"/>
            </w:tcBorders>
            <w:shd w:val="clear" w:color="auto" w:fill="auto"/>
          </w:tcPr>
          <w:p w:rsidR="00A13F6B" w:rsidRPr="00812EED" w:rsidRDefault="00B22E7A">
            <w:pPr>
              <w:ind w:left="-5" w:right="15" w:hanging="10"/>
              <w:rPr>
                <w:color w:val="000000"/>
              </w:rPr>
            </w:pPr>
            <w:r w:rsidRPr="00812EED">
              <w:t>93-100</w:t>
            </w:r>
          </w:p>
        </w:tc>
      </w:tr>
      <w:tr w:rsidR="00A13F6B" w:rsidRPr="00812EED">
        <w:tc>
          <w:tcPr>
            <w:tcW w:w="1890" w:type="dxa"/>
            <w:tcBorders>
              <w:top w:val="nil"/>
              <w:left w:val="single" w:sz="8" w:space="0" w:color="000000"/>
              <w:bottom w:val="single" w:sz="8" w:space="0" w:color="000000"/>
              <w:right w:val="single" w:sz="8" w:space="0" w:color="000000"/>
            </w:tcBorders>
            <w:shd w:val="clear" w:color="auto" w:fill="auto"/>
          </w:tcPr>
          <w:p w:rsidR="00A13F6B" w:rsidRPr="00812EED" w:rsidRDefault="00B22E7A">
            <w:pPr>
              <w:ind w:left="-5" w:right="15" w:hanging="10"/>
              <w:rPr>
                <w:color w:val="000000"/>
              </w:rPr>
            </w:pPr>
            <w:r w:rsidRPr="00812EED">
              <w:t>A-</w:t>
            </w:r>
          </w:p>
        </w:tc>
        <w:tc>
          <w:tcPr>
            <w:tcW w:w="1530" w:type="dxa"/>
            <w:tcBorders>
              <w:top w:val="nil"/>
              <w:left w:val="nil"/>
              <w:bottom w:val="single" w:sz="8" w:space="0" w:color="000000"/>
              <w:right w:val="single" w:sz="8" w:space="0" w:color="000000"/>
            </w:tcBorders>
            <w:shd w:val="clear" w:color="auto" w:fill="auto"/>
          </w:tcPr>
          <w:p w:rsidR="00A13F6B" w:rsidRPr="00812EED" w:rsidRDefault="00B22E7A">
            <w:pPr>
              <w:ind w:left="-5" w:right="15" w:hanging="10"/>
              <w:rPr>
                <w:color w:val="000000"/>
              </w:rPr>
            </w:pPr>
            <w:r w:rsidRPr="00812EED">
              <w:t>90-92</w:t>
            </w:r>
          </w:p>
        </w:tc>
      </w:tr>
      <w:tr w:rsidR="00A13F6B" w:rsidRPr="00812EED">
        <w:tc>
          <w:tcPr>
            <w:tcW w:w="1890" w:type="dxa"/>
            <w:tcBorders>
              <w:top w:val="nil"/>
              <w:left w:val="single" w:sz="8" w:space="0" w:color="000000"/>
              <w:bottom w:val="single" w:sz="8" w:space="0" w:color="000000"/>
              <w:right w:val="single" w:sz="8" w:space="0" w:color="000000"/>
            </w:tcBorders>
            <w:shd w:val="clear" w:color="auto" w:fill="auto"/>
          </w:tcPr>
          <w:p w:rsidR="00A13F6B" w:rsidRPr="00812EED" w:rsidRDefault="00B22E7A">
            <w:pPr>
              <w:ind w:left="-5" w:right="15" w:hanging="10"/>
              <w:rPr>
                <w:color w:val="000000"/>
              </w:rPr>
            </w:pPr>
            <w:r w:rsidRPr="00812EED">
              <w:t>B+</w:t>
            </w:r>
          </w:p>
        </w:tc>
        <w:tc>
          <w:tcPr>
            <w:tcW w:w="1530" w:type="dxa"/>
            <w:tcBorders>
              <w:top w:val="nil"/>
              <w:left w:val="nil"/>
              <w:bottom w:val="single" w:sz="8" w:space="0" w:color="000000"/>
              <w:right w:val="single" w:sz="8" w:space="0" w:color="000000"/>
            </w:tcBorders>
            <w:shd w:val="clear" w:color="auto" w:fill="auto"/>
          </w:tcPr>
          <w:p w:rsidR="00A13F6B" w:rsidRPr="00812EED" w:rsidRDefault="00B22E7A">
            <w:pPr>
              <w:ind w:left="-5" w:right="15" w:hanging="10"/>
              <w:rPr>
                <w:color w:val="000000"/>
              </w:rPr>
            </w:pPr>
            <w:r w:rsidRPr="00812EED">
              <w:t>87-89</w:t>
            </w:r>
          </w:p>
        </w:tc>
      </w:tr>
      <w:tr w:rsidR="00A13F6B" w:rsidRPr="00812EED">
        <w:tc>
          <w:tcPr>
            <w:tcW w:w="1890" w:type="dxa"/>
            <w:tcBorders>
              <w:top w:val="nil"/>
              <w:left w:val="single" w:sz="8" w:space="0" w:color="000000"/>
              <w:bottom w:val="single" w:sz="8" w:space="0" w:color="000000"/>
              <w:right w:val="single" w:sz="8" w:space="0" w:color="000000"/>
            </w:tcBorders>
            <w:shd w:val="clear" w:color="auto" w:fill="auto"/>
          </w:tcPr>
          <w:p w:rsidR="00A13F6B" w:rsidRPr="00812EED" w:rsidRDefault="00B22E7A">
            <w:pPr>
              <w:ind w:left="-5" w:right="15" w:hanging="10"/>
              <w:rPr>
                <w:color w:val="000000"/>
              </w:rPr>
            </w:pPr>
            <w:r w:rsidRPr="00812EED">
              <w:t>B</w:t>
            </w:r>
          </w:p>
        </w:tc>
        <w:tc>
          <w:tcPr>
            <w:tcW w:w="1530" w:type="dxa"/>
            <w:tcBorders>
              <w:top w:val="nil"/>
              <w:left w:val="nil"/>
              <w:bottom w:val="single" w:sz="8" w:space="0" w:color="000000"/>
              <w:right w:val="single" w:sz="8" w:space="0" w:color="000000"/>
            </w:tcBorders>
            <w:shd w:val="clear" w:color="auto" w:fill="auto"/>
          </w:tcPr>
          <w:p w:rsidR="00A13F6B" w:rsidRPr="00812EED" w:rsidRDefault="00B22E7A">
            <w:pPr>
              <w:ind w:left="-5" w:right="15" w:hanging="10"/>
              <w:rPr>
                <w:color w:val="000000"/>
              </w:rPr>
            </w:pPr>
            <w:r w:rsidRPr="00812EED">
              <w:t>83-86</w:t>
            </w:r>
          </w:p>
        </w:tc>
      </w:tr>
      <w:tr w:rsidR="00A13F6B" w:rsidRPr="00812EED">
        <w:tc>
          <w:tcPr>
            <w:tcW w:w="1890" w:type="dxa"/>
            <w:tcBorders>
              <w:top w:val="nil"/>
              <w:left w:val="single" w:sz="8" w:space="0" w:color="000000"/>
              <w:bottom w:val="single" w:sz="8" w:space="0" w:color="000000"/>
              <w:right w:val="single" w:sz="8" w:space="0" w:color="000000"/>
            </w:tcBorders>
            <w:shd w:val="clear" w:color="auto" w:fill="auto"/>
          </w:tcPr>
          <w:p w:rsidR="00A13F6B" w:rsidRPr="00812EED" w:rsidRDefault="00B22E7A">
            <w:pPr>
              <w:ind w:left="-5" w:right="15" w:hanging="10"/>
              <w:rPr>
                <w:color w:val="000000"/>
              </w:rPr>
            </w:pPr>
            <w:r w:rsidRPr="00812EED">
              <w:t>B-</w:t>
            </w:r>
          </w:p>
        </w:tc>
        <w:tc>
          <w:tcPr>
            <w:tcW w:w="1530" w:type="dxa"/>
            <w:tcBorders>
              <w:top w:val="nil"/>
              <w:left w:val="nil"/>
              <w:bottom w:val="single" w:sz="8" w:space="0" w:color="000000"/>
              <w:right w:val="single" w:sz="8" w:space="0" w:color="000000"/>
            </w:tcBorders>
            <w:shd w:val="clear" w:color="auto" w:fill="auto"/>
          </w:tcPr>
          <w:p w:rsidR="00A13F6B" w:rsidRPr="00812EED" w:rsidRDefault="00B22E7A">
            <w:pPr>
              <w:ind w:left="-5" w:right="15" w:hanging="10"/>
              <w:rPr>
                <w:color w:val="000000"/>
              </w:rPr>
            </w:pPr>
            <w:r w:rsidRPr="00812EED">
              <w:t>80-82</w:t>
            </w:r>
          </w:p>
        </w:tc>
      </w:tr>
      <w:tr w:rsidR="00A13F6B" w:rsidRPr="00812EED">
        <w:tc>
          <w:tcPr>
            <w:tcW w:w="1890" w:type="dxa"/>
            <w:tcBorders>
              <w:top w:val="nil"/>
              <w:left w:val="single" w:sz="8" w:space="0" w:color="000000"/>
              <w:bottom w:val="single" w:sz="8" w:space="0" w:color="000000"/>
              <w:right w:val="single" w:sz="8" w:space="0" w:color="000000"/>
            </w:tcBorders>
            <w:shd w:val="clear" w:color="auto" w:fill="auto"/>
          </w:tcPr>
          <w:p w:rsidR="00A13F6B" w:rsidRPr="00812EED" w:rsidRDefault="00B22E7A">
            <w:pPr>
              <w:ind w:left="-5" w:right="15" w:hanging="10"/>
              <w:rPr>
                <w:color w:val="000000"/>
              </w:rPr>
            </w:pPr>
            <w:r w:rsidRPr="00812EED">
              <w:t>C+</w:t>
            </w:r>
          </w:p>
        </w:tc>
        <w:tc>
          <w:tcPr>
            <w:tcW w:w="1530" w:type="dxa"/>
            <w:tcBorders>
              <w:top w:val="nil"/>
              <w:left w:val="nil"/>
              <w:bottom w:val="single" w:sz="8" w:space="0" w:color="000000"/>
              <w:right w:val="single" w:sz="8" w:space="0" w:color="000000"/>
            </w:tcBorders>
            <w:shd w:val="clear" w:color="auto" w:fill="auto"/>
          </w:tcPr>
          <w:p w:rsidR="00A13F6B" w:rsidRPr="00812EED" w:rsidRDefault="00B22E7A">
            <w:pPr>
              <w:ind w:left="-5" w:right="15" w:hanging="10"/>
              <w:rPr>
                <w:color w:val="000000"/>
              </w:rPr>
            </w:pPr>
            <w:r w:rsidRPr="00812EED">
              <w:t>76-79</w:t>
            </w:r>
          </w:p>
        </w:tc>
      </w:tr>
      <w:tr w:rsidR="00A13F6B" w:rsidRPr="00812EED">
        <w:tc>
          <w:tcPr>
            <w:tcW w:w="1890" w:type="dxa"/>
            <w:tcBorders>
              <w:top w:val="nil"/>
              <w:left w:val="single" w:sz="8" w:space="0" w:color="000000"/>
              <w:bottom w:val="single" w:sz="8" w:space="0" w:color="000000"/>
              <w:right w:val="single" w:sz="8" w:space="0" w:color="000000"/>
            </w:tcBorders>
            <w:shd w:val="clear" w:color="auto" w:fill="auto"/>
          </w:tcPr>
          <w:p w:rsidR="00A13F6B" w:rsidRPr="00812EED" w:rsidRDefault="00B22E7A">
            <w:pPr>
              <w:ind w:left="-5" w:right="15" w:hanging="10"/>
              <w:rPr>
                <w:color w:val="000000"/>
              </w:rPr>
            </w:pPr>
            <w:r w:rsidRPr="00812EED">
              <w:t>C</w:t>
            </w:r>
          </w:p>
        </w:tc>
        <w:tc>
          <w:tcPr>
            <w:tcW w:w="1530" w:type="dxa"/>
            <w:tcBorders>
              <w:top w:val="nil"/>
              <w:left w:val="nil"/>
              <w:bottom w:val="single" w:sz="8" w:space="0" w:color="000000"/>
              <w:right w:val="single" w:sz="8" w:space="0" w:color="000000"/>
            </w:tcBorders>
            <w:shd w:val="clear" w:color="auto" w:fill="auto"/>
          </w:tcPr>
          <w:p w:rsidR="00A13F6B" w:rsidRPr="00812EED" w:rsidRDefault="00B22E7A">
            <w:pPr>
              <w:ind w:left="-5" w:right="15" w:hanging="10"/>
              <w:rPr>
                <w:color w:val="000000"/>
              </w:rPr>
            </w:pPr>
            <w:r w:rsidRPr="00812EED">
              <w:t>70-75</w:t>
            </w:r>
          </w:p>
        </w:tc>
      </w:tr>
      <w:tr w:rsidR="00A13F6B" w:rsidRPr="00812EED">
        <w:tc>
          <w:tcPr>
            <w:tcW w:w="1890" w:type="dxa"/>
            <w:tcBorders>
              <w:top w:val="nil"/>
              <w:left w:val="single" w:sz="8" w:space="0" w:color="000000"/>
              <w:bottom w:val="single" w:sz="8" w:space="0" w:color="000000"/>
              <w:right w:val="single" w:sz="8" w:space="0" w:color="000000"/>
            </w:tcBorders>
            <w:shd w:val="clear" w:color="auto" w:fill="auto"/>
          </w:tcPr>
          <w:p w:rsidR="00A13F6B" w:rsidRPr="00812EED" w:rsidRDefault="00B22E7A">
            <w:pPr>
              <w:ind w:left="-5" w:right="15" w:hanging="10"/>
              <w:rPr>
                <w:color w:val="000000"/>
              </w:rPr>
            </w:pPr>
            <w:r w:rsidRPr="00812EED">
              <w:t>F</w:t>
            </w:r>
          </w:p>
        </w:tc>
        <w:tc>
          <w:tcPr>
            <w:tcW w:w="1530" w:type="dxa"/>
            <w:tcBorders>
              <w:top w:val="nil"/>
              <w:left w:val="nil"/>
              <w:bottom w:val="single" w:sz="8" w:space="0" w:color="000000"/>
              <w:right w:val="single" w:sz="8" w:space="0" w:color="000000"/>
            </w:tcBorders>
            <w:shd w:val="clear" w:color="auto" w:fill="auto"/>
          </w:tcPr>
          <w:p w:rsidR="00A13F6B" w:rsidRPr="00812EED" w:rsidRDefault="00B22E7A">
            <w:pPr>
              <w:ind w:left="-5" w:right="15" w:hanging="10"/>
              <w:rPr>
                <w:color w:val="000000"/>
              </w:rPr>
            </w:pPr>
            <w:r w:rsidRPr="00812EED">
              <w:t>Below 70</w:t>
            </w:r>
          </w:p>
        </w:tc>
      </w:tr>
    </w:tbl>
    <w:p w:rsidR="00A13F6B" w:rsidRPr="00812EED" w:rsidRDefault="00A13F6B">
      <w:pPr>
        <w:ind w:left="-5" w:right="15" w:hanging="10"/>
        <w:rPr>
          <w:b/>
          <w:color w:val="000000"/>
        </w:rPr>
      </w:pPr>
    </w:p>
    <w:p w:rsidR="00A13F6B" w:rsidRPr="00812EED" w:rsidRDefault="00B22E7A">
      <w:pPr>
        <w:ind w:left="10" w:right="15" w:hanging="10"/>
        <w:rPr>
          <w:b/>
          <w:color w:val="000000"/>
        </w:rPr>
      </w:pPr>
      <w:r w:rsidRPr="00812EED">
        <w:rPr>
          <w:b/>
          <w:color w:val="000000"/>
        </w:rPr>
        <w:t>Attendance Policy</w:t>
      </w:r>
    </w:p>
    <w:p w:rsidR="00A13F6B" w:rsidRPr="00812EED" w:rsidRDefault="00B22E7A">
      <w:pPr>
        <w:ind w:firstLine="720"/>
        <w:rPr>
          <w:color w:val="000000"/>
        </w:rPr>
      </w:pPr>
      <w:bookmarkStart w:id="5" w:name="_3znysh7" w:colFirst="0" w:colLast="0"/>
      <w:bookmarkEnd w:id="5"/>
      <w:r w:rsidRPr="00812EED">
        <w:rPr>
          <w:color w:val="000000"/>
        </w:rPr>
        <w:t>Attendance is mandatory</w:t>
      </w:r>
      <w:r w:rsidR="001D1882">
        <w:rPr>
          <w:color w:val="000000"/>
        </w:rPr>
        <w:t xml:space="preserve"> and is part of your Class Participation grade (see above)</w:t>
      </w:r>
      <w:r w:rsidRPr="00812EED">
        <w:rPr>
          <w:color w:val="000000"/>
        </w:rPr>
        <w:t xml:space="preserve">. Class will start and end on time. It is the sole responsibility of students who arrive late to let the professor know; otherwise the student will be marked absent. Arriving at class more than 15 minutes late or leaving class more than 15 minutes early will be considered “partial attendance.” Students' grades will be affected by more than two absences and/or more than four partial attendances as follows:  </w:t>
      </w:r>
    </w:p>
    <w:p w:rsidR="00A13F6B" w:rsidRPr="00812EED" w:rsidRDefault="00A13F6B"/>
    <w:p w:rsidR="00A13F6B" w:rsidRPr="00812EED" w:rsidRDefault="00B22E7A">
      <w:r w:rsidRPr="00812EED">
        <w:rPr>
          <w:color w:val="000000"/>
        </w:rPr>
        <w:tab/>
        <w:t>3 days absent = Final course grade lowered by one letter grade</w:t>
      </w:r>
    </w:p>
    <w:p w:rsidR="00A13F6B" w:rsidRPr="00812EED" w:rsidRDefault="00B22E7A">
      <w:r w:rsidRPr="00812EED">
        <w:rPr>
          <w:color w:val="000000"/>
        </w:rPr>
        <w:tab/>
        <w:t>4+ days absent = At risk for failing the course</w:t>
      </w:r>
    </w:p>
    <w:p w:rsidR="00A13F6B" w:rsidRPr="00812EED" w:rsidRDefault="00A13F6B">
      <w:pPr>
        <w:rPr>
          <w:color w:val="000000"/>
        </w:rPr>
      </w:pPr>
    </w:p>
    <w:p w:rsidR="00A13F6B" w:rsidRPr="00812EED" w:rsidRDefault="00B22E7A">
      <w:r w:rsidRPr="00812EED">
        <w:rPr>
          <w:color w:val="000000"/>
        </w:rPr>
        <w:tab/>
        <w:t>4 partial attendances = Final course grade lowered by one letter grade</w:t>
      </w:r>
    </w:p>
    <w:p w:rsidR="00A13F6B" w:rsidRPr="00812EED" w:rsidRDefault="00B22E7A">
      <w:r w:rsidRPr="00812EED">
        <w:rPr>
          <w:color w:val="000000"/>
        </w:rPr>
        <w:tab/>
        <w:t>5+ partial attendances = At risk for failing the course</w:t>
      </w:r>
    </w:p>
    <w:p w:rsidR="00A13F6B" w:rsidRPr="00812EED" w:rsidRDefault="00A13F6B">
      <w:pPr>
        <w:ind w:left="10" w:right="15"/>
        <w:rPr>
          <w:color w:val="000000"/>
        </w:rPr>
      </w:pPr>
    </w:p>
    <w:p w:rsidR="00A13F6B" w:rsidRPr="00812EED" w:rsidRDefault="00B22E7A">
      <w:pPr>
        <w:rPr>
          <w:color w:val="000000"/>
        </w:rPr>
      </w:pPr>
      <w:r w:rsidRPr="00812EED">
        <w:rPr>
          <w:color w:val="000000"/>
        </w:rPr>
        <w:t>There are no excused absences or partial attendances. Students should be judicious about their absences and partial attendances due to illness, family obligations, religious observance, etc. The only exceptions to this policy would be if a student experiences a major illness, accident, and/or injury during the semester.</w:t>
      </w:r>
      <w:r w:rsidR="001D1882">
        <w:rPr>
          <w:color w:val="000000"/>
        </w:rPr>
        <w:t xml:space="preserve"> </w:t>
      </w:r>
    </w:p>
    <w:p w:rsidR="00A13F6B" w:rsidRPr="00812EED" w:rsidRDefault="00A13F6B">
      <w:pPr>
        <w:rPr>
          <w:color w:val="000000"/>
        </w:rPr>
      </w:pPr>
    </w:p>
    <w:p w:rsidR="00A13F6B" w:rsidRPr="00812EED" w:rsidRDefault="00B22E7A">
      <w:pPr>
        <w:rPr>
          <w:b/>
          <w:color w:val="000000"/>
        </w:rPr>
      </w:pPr>
      <w:r w:rsidRPr="00812EED">
        <w:rPr>
          <w:b/>
          <w:color w:val="000000"/>
        </w:rPr>
        <w:t>Professional Involvement</w:t>
      </w:r>
    </w:p>
    <w:p w:rsidR="00A13F6B" w:rsidRPr="00812EED" w:rsidRDefault="00B22E7A">
      <w:pPr>
        <w:rPr>
          <w:color w:val="000000"/>
        </w:rPr>
      </w:pPr>
      <w:r w:rsidRPr="00812EED">
        <w:rPr>
          <w:color w:val="000000"/>
        </w:rPr>
        <w:t>Graduate students in the JMSW Program are expected to conduct themselves professionally. This assumes that students will:</w:t>
      </w:r>
    </w:p>
    <w:p w:rsidR="00A13F6B" w:rsidRPr="00812EED" w:rsidRDefault="00B22E7A">
      <w:pPr>
        <w:numPr>
          <w:ilvl w:val="0"/>
          <w:numId w:val="24"/>
        </w:numPr>
        <w:pBdr>
          <w:top w:val="nil"/>
          <w:left w:val="nil"/>
          <w:bottom w:val="nil"/>
          <w:right w:val="nil"/>
          <w:between w:val="nil"/>
        </w:pBdr>
        <w:ind w:left="810" w:right="15"/>
        <w:jc w:val="both"/>
      </w:pPr>
      <w:r w:rsidRPr="00812EED">
        <w:rPr>
          <w:color w:val="000000"/>
        </w:rPr>
        <w:t>arrive to class on time</w:t>
      </w:r>
    </w:p>
    <w:p w:rsidR="00A13F6B" w:rsidRPr="00812EED" w:rsidRDefault="00B22E7A">
      <w:pPr>
        <w:numPr>
          <w:ilvl w:val="0"/>
          <w:numId w:val="24"/>
        </w:numPr>
        <w:pBdr>
          <w:top w:val="nil"/>
          <w:left w:val="nil"/>
          <w:bottom w:val="nil"/>
          <w:right w:val="nil"/>
          <w:between w:val="nil"/>
        </w:pBdr>
        <w:ind w:left="810" w:right="15"/>
        <w:jc w:val="both"/>
      </w:pPr>
      <w:r w:rsidRPr="00812EED">
        <w:rPr>
          <w:color w:val="000000"/>
        </w:rPr>
        <w:t>arrive prepared with reading and assignments completed</w:t>
      </w:r>
    </w:p>
    <w:p w:rsidR="00A13F6B" w:rsidRPr="00812EED" w:rsidRDefault="00B22E7A">
      <w:pPr>
        <w:numPr>
          <w:ilvl w:val="0"/>
          <w:numId w:val="24"/>
        </w:numPr>
        <w:pBdr>
          <w:top w:val="nil"/>
          <w:left w:val="nil"/>
          <w:bottom w:val="nil"/>
          <w:right w:val="nil"/>
          <w:between w:val="nil"/>
        </w:pBdr>
        <w:ind w:left="810" w:right="15"/>
        <w:jc w:val="both"/>
      </w:pPr>
      <w:r w:rsidRPr="00812EED">
        <w:rPr>
          <w:color w:val="000000"/>
        </w:rPr>
        <w:t>attend all classes</w:t>
      </w:r>
    </w:p>
    <w:p w:rsidR="00A13F6B" w:rsidRPr="00812EED" w:rsidRDefault="00B22E7A">
      <w:pPr>
        <w:numPr>
          <w:ilvl w:val="0"/>
          <w:numId w:val="26"/>
        </w:numPr>
        <w:ind w:left="810" w:right="15"/>
        <w:jc w:val="both"/>
      </w:pPr>
      <w:r w:rsidRPr="00812EED">
        <w:t>remain attentive during class</w:t>
      </w:r>
    </w:p>
    <w:p w:rsidR="00A13F6B" w:rsidRPr="00812EED" w:rsidRDefault="00B22E7A">
      <w:pPr>
        <w:numPr>
          <w:ilvl w:val="0"/>
          <w:numId w:val="26"/>
        </w:numPr>
        <w:ind w:left="810" w:right="15"/>
        <w:jc w:val="both"/>
      </w:pPr>
      <w:r w:rsidRPr="00812EED">
        <w:lastRenderedPageBreak/>
        <w:t>demonstrate a commitment to learning</w:t>
      </w:r>
    </w:p>
    <w:p w:rsidR="00A13F6B" w:rsidRPr="00812EED" w:rsidRDefault="00B22E7A">
      <w:pPr>
        <w:numPr>
          <w:ilvl w:val="0"/>
          <w:numId w:val="26"/>
        </w:numPr>
        <w:ind w:left="810" w:right="15"/>
        <w:jc w:val="both"/>
      </w:pPr>
      <w:r w:rsidRPr="00812EED">
        <w:t>participate in class discussions and activities</w:t>
      </w:r>
    </w:p>
    <w:p w:rsidR="00A13F6B" w:rsidRPr="00812EED" w:rsidRDefault="00B22E7A">
      <w:pPr>
        <w:numPr>
          <w:ilvl w:val="0"/>
          <w:numId w:val="26"/>
        </w:numPr>
        <w:ind w:left="810" w:right="15"/>
        <w:jc w:val="both"/>
      </w:pPr>
      <w:r w:rsidRPr="00812EED">
        <w:t>take responsibility for one’s learning</w:t>
      </w:r>
    </w:p>
    <w:p w:rsidR="00A13F6B" w:rsidRPr="00812EED" w:rsidRDefault="00B22E7A">
      <w:pPr>
        <w:numPr>
          <w:ilvl w:val="0"/>
          <w:numId w:val="26"/>
        </w:numPr>
        <w:ind w:left="810" w:right="15"/>
        <w:jc w:val="both"/>
      </w:pPr>
      <w:r w:rsidRPr="00812EED">
        <w:t>turn in assignments on time, typed, using APA format, with proper grammar, and free of typographical or spelling errors</w:t>
      </w:r>
    </w:p>
    <w:p w:rsidR="00A13F6B" w:rsidRPr="00812EED" w:rsidRDefault="00A13F6B">
      <w:pPr>
        <w:rPr>
          <w:color w:val="000000"/>
        </w:rPr>
      </w:pPr>
    </w:p>
    <w:p w:rsidR="00A13F6B" w:rsidRPr="00812EED" w:rsidRDefault="00B22E7A">
      <w:pPr>
        <w:rPr>
          <w:b/>
        </w:rPr>
      </w:pPr>
      <w:r w:rsidRPr="00812EED">
        <w:rPr>
          <w:b/>
        </w:rPr>
        <w:t>Accommodations for Students with Disabilities</w:t>
      </w:r>
    </w:p>
    <w:p w:rsidR="00A13F6B" w:rsidRPr="00812EED" w:rsidRDefault="00B22E7A">
      <w:pPr>
        <w:tabs>
          <w:tab w:val="left" w:pos="-720"/>
        </w:tabs>
        <w:rPr>
          <w:i/>
        </w:rPr>
      </w:pPr>
      <w:r w:rsidRPr="00812EED">
        <w:rPr>
          <w:color w:val="000000"/>
        </w:rPr>
        <w:tab/>
        <w:t xml:space="preserve">Under the Americans with Disabilities Act (ADA), pursuant to Section 504 of the Rehabilitation Act, “reasonable accommodation” to students with disabilities is provided in this course. If you require an accommodation, you must register with the appropriate office for your home campus:  Office of Veterans and Disability Service (OVDSS) at NCA&amp;TSU or the </w:t>
      </w:r>
      <w:r w:rsidRPr="00812EED">
        <w:t xml:space="preserve">Office of Accessibility Resources and Services (OARS) at UNCG.  </w:t>
      </w:r>
      <w:r w:rsidRPr="00812EED">
        <w:rPr>
          <w:color w:val="000000"/>
        </w:rPr>
        <w:t>Please notify OVDSS or OARS of any accommodation requests prior to the start of classes or within the first two weeks of classes.</w:t>
      </w:r>
      <w:r w:rsidRPr="00812EED">
        <w:rPr>
          <w:i/>
          <w:color w:val="FF0000"/>
        </w:rPr>
        <w:t xml:space="preserve"> </w:t>
      </w:r>
      <w:r w:rsidRPr="00812EED">
        <w:rPr>
          <w:color w:val="000000"/>
        </w:rPr>
        <w:t>Students should inform the instructor at the beginning of the semester about specific accommodations needed and provide authorized documentation through designated administrative channels. Consult either the NCA&amp;TSU or UNCG graduate bulletin for further information.</w:t>
      </w:r>
      <w:r w:rsidRPr="00812EED">
        <w:rPr>
          <w:b/>
          <w:color w:val="000000"/>
        </w:rPr>
        <w:t xml:space="preserve">  </w:t>
      </w:r>
      <w:r w:rsidRPr="00812EED">
        <w:rPr>
          <w:i/>
        </w:rPr>
        <w:t>Please note that accommodations and modifications may not be performed retroactively!</w:t>
      </w:r>
    </w:p>
    <w:p w:rsidR="00A13F6B" w:rsidRPr="00812EED" w:rsidRDefault="00A13F6B">
      <w:pPr>
        <w:ind w:right="-12"/>
        <w:rPr>
          <w:color w:val="000000"/>
        </w:rPr>
      </w:pPr>
    </w:p>
    <w:p w:rsidR="00A13F6B" w:rsidRPr="00812EED" w:rsidRDefault="00B22E7A">
      <w:r w:rsidRPr="00812EED">
        <w:rPr>
          <w:b/>
          <w:color w:val="000000"/>
        </w:rPr>
        <w:t>Health and Wellness</w:t>
      </w:r>
    </w:p>
    <w:p w:rsidR="00A13F6B" w:rsidRPr="00812EED" w:rsidRDefault="00B22E7A">
      <w:r w:rsidRPr="00812EED">
        <w:rPr>
          <w:color w:val="000000"/>
        </w:rPr>
        <w:tab/>
        <w:t>Your health impacts your learning. Throughout your time in the JMSW Program, you may experience a range of health issues that can cause barriers to your learning. These might include physical ailments, illnesses, strained relationships, anxiety, high levels of stress, alcohol/drug problems, feeling down, or loss of motivation.  Both universities have resources that can help you with these or other issues.  Be sure to contact the resources at your home campus.  You can learn about the free, confidential mental health services available the campuses by contacting:</w:t>
      </w:r>
    </w:p>
    <w:p w:rsidR="00A13F6B" w:rsidRPr="00812EED" w:rsidRDefault="00A13F6B"/>
    <w:p w:rsidR="00A13F6B" w:rsidRPr="00812EED" w:rsidRDefault="00B22E7A">
      <w:r w:rsidRPr="00812EED">
        <w:rPr>
          <w:color w:val="000000"/>
        </w:rPr>
        <w:t xml:space="preserve">N.C. A&amp;T Student Health Center, via phone at (336) 334-7880, online at </w:t>
      </w:r>
      <w:hyperlink r:id="rId20">
        <w:r w:rsidRPr="00812EED">
          <w:rPr>
            <w:color w:val="0000FF"/>
            <w:u w:val="single"/>
          </w:rPr>
          <w:t>http://www.ncat.edu/student-affairs/student-services/health-services,</w:t>
        </w:r>
      </w:hyperlink>
      <w:hyperlink r:id="rId21">
        <w:r w:rsidRPr="00812EED">
          <w:rPr>
            <w:b/>
            <w:i/>
            <w:color w:val="000000"/>
            <w:u w:val="single"/>
          </w:rPr>
          <w:t xml:space="preserve"> </w:t>
        </w:r>
      </w:hyperlink>
      <w:hyperlink r:id="rId22">
        <w:r w:rsidRPr="00812EED">
          <w:rPr>
            <w:color w:val="000000"/>
            <w:u w:val="single"/>
          </w:rPr>
          <w:t>or by visiting the Sebastian Health Center at 112 N. Benbow Rd.</w:t>
        </w:r>
      </w:hyperlink>
    </w:p>
    <w:p w:rsidR="00A13F6B" w:rsidRPr="00812EED" w:rsidRDefault="00A13F6B"/>
    <w:p w:rsidR="00A13F6B" w:rsidRPr="00812EED" w:rsidRDefault="00B22E7A">
      <w:r w:rsidRPr="00812EED">
        <w:rPr>
          <w:color w:val="000000"/>
        </w:rPr>
        <w:t xml:space="preserve">UNCG Student Health Center and counseling center via phone (336) 334-5874, the internet </w:t>
      </w:r>
      <w:hyperlink r:id="rId23">
        <w:r w:rsidRPr="00812EED">
          <w:rPr>
            <w:color w:val="0000FF"/>
            <w:u w:val="single"/>
          </w:rPr>
          <w:t>https://shs.uncg.edu/</w:t>
        </w:r>
      </w:hyperlink>
      <w:r w:rsidRPr="00812EED">
        <w:rPr>
          <w:color w:val="000000"/>
        </w:rPr>
        <w:t>, or by visiting the Anna M. Gove Student Health Center at 107 Gray Drive. </w:t>
      </w:r>
    </w:p>
    <w:p w:rsidR="00A13F6B" w:rsidRPr="00812EED" w:rsidRDefault="00A13F6B">
      <w:pPr>
        <w:ind w:right="-12"/>
        <w:rPr>
          <w:color w:val="000000"/>
        </w:rPr>
      </w:pPr>
    </w:p>
    <w:p w:rsidR="00A13F6B" w:rsidRPr="00812EED" w:rsidRDefault="00B22E7A">
      <w:pPr>
        <w:rPr>
          <w:b/>
        </w:rPr>
      </w:pPr>
      <w:r w:rsidRPr="00812EED">
        <w:rPr>
          <w:b/>
        </w:rPr>
        <w:t>Academic Integrity Policy</w:t>
      </w:r>
    </w:p>
    <w:p w:rsidR="00A13F6B" w:rsidRPr="00812EED" w:rsidRDefault="00B22E7A">
      <w:r w:rsidRPr="00812EED">
        <w:t>Academic integrity is important to success in graduate school as well as later in your professional life as social workers. Academic integrity is based on five values:  honesty, trust, fairness, respect, and responsibility. If you are to fully benefit from this class and be properly evaluated for your contributions, we must work together in an environment that affirms these values. Work that violates these values is incompatible with the goals of this class and the NASW Code of Ethics and will not be tolerated. Violations of the academic integrity policy will be considered serious academic and ethical offenses and will be dealt with as such. Every member of the class is expected to foster the spirit of academic honesty at all times and to encourage that spirit among others.</w:t>
      </w:r>
    </w:p>
    <w:p w:rsidR="00A13F6B" w:rsidRPr="00812EED" w:rsidRDefault="00A13F6B">
      <w:pPr>
        <w:ind w:firstLine="720"/>
      </w:pPr>
    </w:p>
    <w:p w:rsidR="00A13F6B" w:rsidRPr="00812EED" w:rsidRDefault="00B22E7A">
      <w:pPr>
        <w:tabs>
          <w:tab w:val="left" w:pos="-720"/>
        </w:tabs>
      </w:pPr>
      <w:r w:rsidRPr="00812EED">
        <w:lastRenderedPageBreak/>
        <w:t xml:space="preserve">Students are encouraged to review both the UNCG Academic Integrity Policy online at https://osrr.uncg.edu/academic-integrity/and the NCA&amp;TSU Academic Dishonesty Policy in the Graduate Bulletin at </w:t>
      </w:r>
      <w:hyperlink r:id="rId24">
        <w:r w:rsidRPr="00812EED">
          <w:rPr>
            <w:color w:val="0000FF"/>
            <w:u w:val="single"/>
          </w:rPr>
          <w:t>https://www.ncat.edu/divisions/academic-affairs/bulletin/2018-2019/academic-info-and-regs/academic-dishonesty-policy.html</w:t>
        </w:r>
      </w:hyperlink>
      <w:r w:rsidRPr="00812EED">
        <w:t>.  I encourage you to discuss the meaning of academic integrity with one another and with me. If any work or assignment appears unclear or presents questions related to academic integrity, I urge you to talk with me to obtain further clarification.</w:t>
      </w:r>
      <w:r w:rsidRPr="00812EED">
        <w:tab/>
      </w:r>
    </w:p>
    <w:p w:rsidR="00A13F6B" w:rsidRPr="00812EED" w:rsidRDefault="00A13F6B"/>
    <w:p w:rsidR="00A13F6B" w:rsidRPr="00812EED" w:rsidRDefault="00B22E7A">
      <w:r w:rsidRPr="00812EED">
        <w:t xml:space="preserve">I invite you, as a student in this class, to join me in supporting the Academic Integrity Policy. Students are expected to sign the Academic Integrity Pledge below for each assignment to signal a clear indication of their support of this policy: </w:t>
      </w:r>
    </w:p>
    <w:p w:rsidR="00A13F6B" w:rsidRPr="00812EED" w:rsidRDefault="00A13F6B"/>
    <w:p w:rsidR="00A13F6B" w:rsidRPr="00812EED" w:rsidRDefault="00B22E7A">
      <w:r w:rsidRPr="00812EED">
        <w:t>Academic Integrity Pledge: “I have abided by the Academic Integrity Policy on this</w:t>
      </w:r>
      <w:r w:rsidRPr="00812EED">
        <w:rPr>
          <w:b/>
          <w:i/>
        </w:rPr>
        <w:t xml:space="preserve"> </w:t>
      </w:r>
      <w:r w:rsidRPr="00812EED">
        <w:t>assignment.”</w:t>
      </w:r>
    </w:p>
    <w:p w:rsidR="00A13F6B" w:rsidRPr="00812EED" w:rsidRDefault="00A13F6B"/>
    <w:p w:rsidR="00A13F6B" w:rsidRPr="00812EED" w:rsidRDefault="00B22E7A">
      <w:r w:rsidRPr="00812EED">
        <w:t>_______________________________</w:t>
      </w:r>
      <w:r w:rsidRPr="00812EED">
        <w:tab/>
      </w:r>
      <w:r w:rsidRPr="00812EED">
        <w:tab/>
      </w:r>
      <w:r w:rsidRPr="00812EED">
        <w:tab/>
        <w:t>__________________</w:t>
      </w:r>
    </w:p>
    <w:p w:rsidR="00A13F6B" w:rsidRPr="00812EED" w:rsidRDefault="00B22E7A">
      <w:r w:rsidRPr="00812EED">
        <w:tab/>
        <w:t xml:space="preserve">Signature </w:t>
      </w:r>
      <w:r w:rsidRPr="00812EED">
        <w:tab/>
      </w:r>
      <w:r w:rsidRPr="00812EED">
        <w:tab/>
      </w:r>
      <w:r w:rsidRPr="00812EED">
        <w:tab/>
      </w:r>
      <w:r w:rsidRPr="00812EED">
        <w:tab/>
      </w:r>
      <w:r w:rsidRPr="00812EED">
        <w:tab/>
      </w:r>
      <w:r w:rsidRPr="00812EED">
        <w:tab/>
      </w:r>
      <w:r w:rsidRPr="00812EED">
        <w:tab/>
        <w:t>Date</w:t>
      </w:r>
    </w:p>
    <w:p w:rsidR="00A13F6B" w:rsidRPr="00812EED" w:rsidRDefault="00A13F6B">
      <w:pPr>
        <w:rPr>
          <w:b/>
          <w:i/>
        </w:rPr>
      </w:pPr>
    </w:p>
    <w:p w:rsidR="00A13F6B" w:rsidRPr="00812EED" w:rsidRDefault="00B22E7A">
      <w:pPr>
        <w:rPr>
          <w:b/>
        </w:rPr>
      </w:pPr>
      <w:r w:rsidRPr="00812EED">
        <w:rPr>
          <w:b/>
        </w:rPr>
        <w:t>Resources for Students</w:t>
      </w:r>
    </w:p>
    <w:p w:rsidR="00A13F6B" w:rsidRPr="00812EED" w:rsidRDefault="00B22E7A">
      <w:r w:rsidRPr="00812EED">
        <w:t>There are Writing Centers at both UNCG and NCA&amp;TSU for students who need help with writing.  Please note that these centers do not necessarily adhere to APA style, so you need to consult the APA 6</w:t>
      </w:r>
      <w:r w:rsidRPr="00812EED">
        <w:rPr>
          <w:vertAlign w:val="superscript"/>
        </w:rPr>
        <w:t>th</w:t>
      </w:r>
      <w:r w:rsidRPr="00812EED">
        <w:t xml:space="preserve"> edition to be sure your assignments follow those guidelines.</w:t>
      </w:r>
    </w:p>
    <w:p w:rsidR="00A13F6B" w:rsidRPr="008B0CA0" w:rsidRDefault="00B22E7A" w:rsidP="008B0CA0">
      <w:pPr>
        <w:tabs>
          <w:tab w:val="left" w:pos="-720"/>
        </w:tabs>
      </w:pPr>
      <w:r w:rsidRPr="00812EED">
        <w:t>NOTE: The instructor reserves the right to alter and adjust this syllabus to fit the learning and instructional needs of the class.</w:t>
      </w:r>
      <w:r>
        <w:t xml:space="preserve">  </w:t>
      </w:r>
    </w:p>
    <w:sectPr w:rsidR="00A13F6B" w:rsidRPr="008B0CA0">
      <w:headerReference w:type="default" r:id="rId25"/>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6E0" w:rsidRDefault="003C76E0">
      <w:r>
        <w:separator/>
      </w:r>
    </w:p>
  </w:endnote>
  <w:endnote w:type="continuationSeparator" w:id="0">
    <w:p w:rsidR="003C76E0" w:rsidRDefault="003C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6B" w:rsidRDefault="00B22E7A">
    <w:pPr>
      <w:pBdr>
        <w:top w:val="nil"/>
        <w:left w:val="nil"/>
        <w:bottom w:val="nil"/>
        <w:right w:val="nil"/>
        <w:between w:val="nil"/>
      </w:pBdr>
      <w:tabs>
        <w:tab w:val="center" w:pos="4320"/>
        <w:tab w:val="right" w:pos="8640"/>
        <w:tab w:val="left" w:pos="1536"/>
      </w:tabs>
      <w:jc w:val="both"/>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6E0" w:rsidRDefault="003C76E0">
      <w:r>
        <w:separator/>
      </w:r>
    </w:p>
  </w:footnote>
  <w:footnote w:type="continuationSeparator" w:id="0">
    <w:p w:rsidR="003C76E0" w:rsidRDefault="003C7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6B" w:rsidRDefault="00A13F6B">
    <w:pPr>
      <w:pBdr>
        <w:top w:val="nil"/>
        <w:left w:val="nil"/>
        <w:bottom w:val="nil"/>
        <w:right w:val="nil"/>
        <w:between w:val="nil"/>
      </w:pBdr>
      <w:tabs>
        <w:tab w:val="center" w:pos="4680"/>
        <w:tab w:val="right" w:pos="9360"/>
      </w:tabs>
      <w:jc w:val="right"/>
      <w:rPr>
        <w:color w:val="000000"/>
      </w:rPr>
    </w:pPr>
  </w:p>
  <w:p w:rsidR="00A13F6B" w:rsidRDefault="00A13F6B">
    <w:pPr>
      <w:pBdr>
        <w:top w:val="nil"/>
        <w:left w:val="nil"/>
        <w:bottom w:val="nil"/>
        <w:right w:val="nil"/>
        <w:between w:val="nil"/>
      </w:pBdr>
      <w:tabs>
        <w:tab w:val="center" w:pos="4680"/>
        <w:tab w:val="right" w:pos="9360"/>
      </w:tabs>
      <w:jc w:val="both"/>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631"/>
    <w:multiLevelType w:val="multilevel"/>
    <w:tmpl w:val="F2AA2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7F2C4B"/>
    <w:multiLevelType w:val="multilevel"/>
    <w:tmpl w:val="D6FE8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02A6B"/>
    <w:multiLevelType w:val="multilevel"/>
    <w:tmpl w:val="EDA453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2921406"/>
    <w:multiLevelType w:val="multilevel"/>
    <w:tmpl w:val="9E663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2D1564"/>
    <w:multiLevelType w:val="multilevel"/>
    <w:tmpl w:val="9B602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F1771A"/>
    <w:multiLevelType w:val="multilevel"/>
    <w:tmpl w:val="F14A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1039B"/>
    <w:multiLevelType w:val="multilevel"/>
    <w:tmpl w:val="0CE87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8C7B0D"/>
    <w:multiLevelType w:val="multilevel"/>
    <w:tmpl w:val="CE7CF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2B411A"/>
    <w:multiLevelType w:val="multilevel"/>
    <w:tmpl w:val="70562F8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6AC4E4A"/>
    <w:multiLevelType w:val="multilevel"/>
    <w:tmpl w:val="45D44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F85543"/>
    <w:multiLevelType w:val="multilevel"/>
    <w:tmpl w:val="80ACC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3360A6"/>
    <w:multiLevelType w:val="multilevel"/>
    <w:tmpl w:val="191EE2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51357CB"/>
    <w:multiLevelType w:val="multilevel"/>
    <w:tmpl w:val="8EEEE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4B4646"/>
    <w:multiLevelType w:val="multilevel"/>
    <w:tmpl w:val="6E285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AE5C4C"/>
    <w:multiLevelType w:val="multilevel"/>
    <w:tmpl w:val="505C4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9E2EFD"/>
    <w:multiLevelType w:val="multilevel"/>
    <w:tmpl w:val="BF7C7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0204C08"/>
    <w:multiLevelType w:val="multilevel"/>
    <w:tmpl w:val="1ACC5C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404193C"/>
    <w:multiLevelType w:val="multilevel"/>
    <w:tmpl w:val="8AB26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2251A2"/>
    <w:multiLevelType w:val="multilevel"/>
    <w:tmpl w:val="DA7ED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98235DB"/>
    <w:multiLevelType w:val="multilevel"/>
    <w:tmpl w:val="8F94A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99D5426"/>
    <w:multiLevelType w:val="multilevel"/>
    <w:tmpl w:val="F634EF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72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DFF7305"/>
    <w:multiLevelType w:val="multilevel"/>
    <w:tmpl w:val="D346A5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0B02486"/>
    <w:multiLevelType w:val="multilevel"/>
    <w:tmpl w:val="ACE441C4"/>
    <w:lvl w:ilvl="0">
      <w:start w:val="1"/>
      <w:numFmt w:val="bullet"/>
      <w:lvlText w:val="●"/>
      <w:lvlJc w:val="left"/>
      <w:pPr>
        <w:ind w:left="1080" w:hanging="360"/>
      </w:pPr>
      <w:rPr>
        <w:rFonts w:ascii="Noto Sans Symbols" w:eastAsia="Noto Sans Symbols" w:hAnsi="Noto Sans Symbols" w:cs="Noto Sans Symbols"/>
        <w:smallCaps w:val="0"/>
        <w:strike w:val="0"/>
        <w:color w:val="000000"/>
        <w:sz w:val="24"/>
        <w:szCs w:val="24"/>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4481771"/>
    <w:multiLevelType w:val="multilevel"/>
    <w:tmpl w:val="0D8054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52827F2"/>
    <w:multiLevelType w:val="multilevel"/>
    <w:tmpl w:val="64A2F2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87D02CB"/>
    <w:multiLevelType w:val="multilevel"/>
    <w:tmpl w:val="A612AA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A2471B7"/>
    <w:multiLevelType w:val="multilevel"/>
    <w:tmpl w:val="72E66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B6A2FBF"/>
    <w:multiLevelType w:val="multilevel"/>
    <w:tmpl w:val="D312E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F5624AF"/>
    <w:multiLevelType w:val="multilevel"/>
    <w:tmpl w:val="F8080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367E09"/>
    <w:multiLevelType w:val="multilevel"/>
    <w:tmpl w:val="D3E48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9954F80"/>
    <w:multiLevelType w:val="multilevel"/>
    <w:tmpl w:val="4D4E1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D4367F4"/>
    <w:multiLevelType w:val="multilevel"/>
    <w:tmpl w:val="9C446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FCC44C6"/>
    <w:multiLevelType w:val="hybridMultilevel"/>
    <w:tmpl w:val="3ED8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B5FD5"/>
    <w:multiLevelType w:val="multilevel"/>
    <w:tmpl w:val="7B583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43F5FB6"/>
    <w:multiLevelType w:val="multilevel"/>
    <w:tmpl w:val="3E48D5D2"/>
    <w:lvl w:ilvl="0">
      <w:start w:val="1"/>
      <w:numFmt w:val="bullet"/>
      <w:lvlText w:val="●"/>
      <w:lvlJc w:val="left"/>
      <w:pPr>
        <w:ind w:left="710" w:hanging="360"/>
      </w:pPr>
      <w:rPr>
        <w:rFonts w:ascii="Noto Sans Symbols" w:eastAsia="Noto Sans Symbols" w:hAnsi="Noto Sans Symbols" w:cs="Noto Sans Symbols"/>
      </w:rPr>
    </w:lvl>
    <w:lvl w:ilvl="1">
      <w:start w:val="1"/>
      <w:numFmt w:val="bullet"/>
      <w:lvlText w:val="o"/>
      <w:lvlJc w:val="left"/>
      <w:pPr>
        <w:ind w:left="1430" w:hanging="360"/>
      </w:pPr>
      <w:rPr>
        <w:rFonts w:ascii="Courier New" w:eastAsia="Courier New" w:hAnsi="Courier New" w:cs="Courier New"/>
      </w:rPr>
    </w:lvl>
    <w:lvl w:ilvl="2">
      <w:start w:val="1"/>
      <w:numFmt w:val="bullet"/>
      <w:lvlText w:val="▪"/>
      <w:lvlJc w:val="left"/>
      <w:pPr>
        <w:ind w:left="2150" w:hanging="360"/>
      </w:pPr>
      <w:rPr>
        <w:rFonts w:ascii="Noto Sans Symbols" w:eastAsia="Noto Sans Symbols" w:hAnsi="Noto Sans Symbols" w:cs="Noto Sans Symbols"/>
      </w:rPr>
    </w:lvl>
    <w:lvl w:ilvl="3">
      <w:start w:val="1"/>
      <w:numFmt w:val="bullet"/>
      <w:lvlText w:val="●"/>
      <w:lvlJc w:val="left"/>
      <w:pPr>
        <w:ind w:left="2870" w:hanging="360"/>
      </w:pPr>
      <w:rPr>
        <w:rFonts w:ascii="Noto Sans Symbols" w:eastAsia="Noto Sans Symbols" w:hAnsi="Noto Sans Symbols" w:cs="Noto Sans Symbols"/>
      </w:rPr>
    </w:lvl>
    <w:lvl w:ilvl="4">
      <w:start w:val="1"/>
      <w:numFmt w:val="bullet"/>
      <w:lvlText w:val="o"/>
      <w:lvlJc w:val="left"/>
      <w:pPr>
        <w:ind w:left="3590" w:hanging="360"/>
      </w:pPr>
      <w:rPr>
        <w:rFonts w:ascii="Courier New" w:eastAsia="Courier New" w:hAnsi="Courier New" w:cs="Courier New"/>
      </w:rPr>
    </w:lvl>
    <w:lvl w:ilvl="5">
      <w:start w:val="1"/>
      <w:numFmt w:val="bullet"/>
      <w:lvlText w:val="▪"/>
      <w:lvlJc w:val="left"/>
      <w:pPr>
        <w:ind w:left="4310" w:hanging="360"/>
      </w:pPr>
      <w:rPr>
        <w:rFonts w:ascii="Noto Sans Symbols" w:eastAsia="Noto Sans Symbols" w:hAnsi="Noto Sans Symbols" w:cs="Noto Sans Symbols"/>
      </w:rPr>
    </w:lvl>
    <w:lvl w:ilvl="6">
      <w:start w:val="1"/>
      <w:numFmt w:val="bullet"/>
      <w:lvlText w:val="●"/>
      <w:lvlJc w:val="left"/>
      <w:pPr>
        <w:ind w:left="5030" w:hanging="360"/>
      </w:pPr>
      <w:rPr>
        <w:rFonts w:ascii="Noto Sans Symbols" w:eastAsia="Noto Sans Symbols" w:hAnsi="Noto Sans Symbols" w:cs="Noto Sans Symbols"/>
      </w:rPr>
    </w:lvl>
    <w:lvl w:ilvl="7">
      <w:start w:val="1"/>
      <w:numFmt w:val="bullet"/>
      <w:lvlText w:val="o"/>
      <w:lvlJc w:val="left"/>
      <w:pPr>
        <w:ind w:left="5750" w:hanging="360"/>
      </w:pPr>
      <w:rPr>
        <w:rFonts w:ascii="Courier New" w:eastAsia="Courier New" w:hAnsi="Courier New" w:cs="Courier New"/>
      </w:rPr>
    </w:lvl>
    <w:lvl w:ilvl="8">
      <w:start w:val="1"/>
      <w:numFmt w:val="bullet"/>
      <w:lvlText w:val="▪"/>
      <w:lvlJc w:val="left"/>
      <w:pPr>
        <w:ind w:left="6470" w:hanging="360"/>
      </w:pPr>
      <w:rPr>
        <w:rFonts w:ascii="Noto Sans Symbols" w:eastAsia="Noto Sans Symbols" w:hAnsi="Noto Sans Symbols" w:cs="Noto Sans Symbols"/>
      </w:rPr>
    </w:lvl>
  </w:abstractNum>
  <w:num w:numId="1">
    <w:abstractNumId w:val="16"/>
  </w:num>
  <w:num w:numId="2">
    <w:abstractNumId w:val="3"/>
  </w:num>
  <w:num w:numId="3">
    <w:abstractNumId w:val="9"/>
  </w:num>
  <w:num w:numId="4">
    <w:abstractNumId w:val="7"/>
  </w:num>
  <w:num w:numId="5">
    <w:abstractNumId w:val="14"/>
  </w:num>
  <w:num w:numId="6">
    <w:abstractNumId w:val="27"/>
  </w:num>
  <w:num w:numId="7">
    <w:abstractNumId w:val="29"/>
  </w:num>
  <w:num w:numId="8">
    <w:abstractNumId w:val="20"/>
  </w:num>
  <w:num w:numId="9">
    <w:abstractNumId w:val="34"/>
  </w:num>
  <w:num w:numId="10">
    <w:abstractNumId w:val="10"/>
  </w:num>
  <w:num w:numId="11">
    <w:abstractNumId w:val="19"/>
  </w:num>
  <w:num w:numId="12">
    <w:abstractNumId w:val="26"/>
  </w:num>
  <w:num w:numId="13">
    <w:abstractNumId w:val="0"/>
  </w:num>
  <w:num w:numId="14">
    <w:abstractNumId w:val="15"/>
  </w:num>
  <w:num w:numId="15">
    <w:abstractNumId w:val="12"/>
  </w:num>
  <w:num w:numId="16">
    <w:abstractNumId w:val="4"/>
  </w:num>
  <w:num w:numId="17">
    <w:abstractNumId w:val="21"/>
  </w:num>
  <w:num w:numId="18">
    <w:abstractNumId w:val="2"/>
  </w:num>
  <w:num w:numId="19">
    <w:abstractNumId w:val="24"/>
  </w:num>
  <w:num w:numId="20">
    <w:abstractNumId w:val="30"/>
  </w:num>
  <w:num w:numId="21">
    <w:abstractNumId w:val="17"/>
  </w:num>
  <w:num w:numId="22">
    <w:abstractNumId w:val="1"/>
  </w:num>
  <w:num w:numId="23">
    <w:abstractNumId w:val="8"/>
  </w:num>
  <w:num w:numId="24">
    <w:abstractNumId w:val="22"/>
  </w:num>
  <w:num w:numId="25">
    <w:abstractNumId w:val="11"/>
  </w:num>
  <w:num w:numId="26">
    <w:abstractNumId w:val="13"/>
  </w:num>
  <w:num w:numId="27">
    <w:abstractNumId w:val="18"/>
  </w:num>
  <w:num w:numId="28">
    <w:abstractNumId w:val="31"/>
  </w:num>
  <w:num w:numId="29">
    <w:abstractNumId w:val="25"/>
  </w:num>
  <w:num w:numId="30">
    <w:abstractNumId w:val="23"/>
  </w:num>
  <w:num w:numId="31">
    <w:abstractNumId w:val="6"/>
  </w:num>
  <w:num w:numId="32">
    <w:abstractNumId w:val="28"/>
  </w:num>
  <w:num w:numId="33">
    <w:abstractNumId w:val="33"/>
  </w:num>
  <w:num w:numId="34">
    <w:abstractNumId w:val="3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F6B"/>
    <w:rsid w:val="00041C7F"/>
    <w:rsid w:val="0006793F"/>
    <w:rsid w:val="000D0AE3"/>
    <w:rsid w:val="00196C3F"/>
    <w:rsid w:val="001D1882"/>
    <w:rsid w:val="002631DF"/>
    <w:rsid w:val="00291480"/>
    <w:rsid w:val="002A7797"/>
    <w:rsid w:val="002C1F39"/>
    <w:rsid w:val="002F53BD"/>
    <w:rsid w:val="003C76E0"/>
    <w:rsid w:val="00425A44"/>
    <w:rsid w:val="00503821"/>
    <w:rsid w:val="005836C1"/>
    <w:rsid w:val="00644864"/>
    <w:rsid w:val="00765A1F"/>
    <w:rsid w:val="007F294E"/>
    <w:rsid w:val="00812EED"/>
    <w:rsid w:val="008B0CA0"/>
    <w:rsid w:val="00915486"/>
    <w:rsid w:val="009D66FE"/>
    <w:rsid w:val="009E30F3"/>
    <w:rsid w:val="00A13F6B"/>
    <w:rsid w:val="00AC4DB9"/>
    <w:rsid w:val="00B22E7A"/>
    <w:rsid w:val="00B612F1"/>
    <w:rsid w:val="00BA4D95"/>
    <w:rsid w:val="00CB3E7A"/>
    <w:rsid w:val="00CF572B"/>
    <w:rsid w:val="00DE528C"/>
    <w:rsid w:val="00E925D6"/>
    <w:rsid w:val="00ED1EA3"/>
    <w:rsid w:val="00F22923"/>
    <w:rsid w:val="00FC5665"/>
    <w:rsid w:val="00FF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3E15"/>
  <w15:docId w15:val="{DAE5F758-0708-42D0-87F6-036E150D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jc w:val="both"/>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keepNext/>
      <w:spacing w:before="240" w:after="60"/>
      <w:jc w:val="both"/>
      <w:outlineLvl w:val="1"/>
    </w:pPr>
    <w:rPr>
      <w:rFonts w:ascii="Arial" w:eastAsia="Arial" w:hAnsi="Arial" w:cs="Arial"/>
      <w:b/>
      <w:i/>
    </w:rPr>
  </w:style>
  <w:style w:type="paragraph" w:styleId="Heading3">
    <w:name w:val="heading 3"/>
    <w:basedOn w:val="Normal"/>
    <w:next w:val="Normal"/>
    <w:uiPriority w:val="9"/>
    <w:semiHidden/>
    <w:unhideWhenUsed/>
    <w:qFormat/>
    <w:pPr>
      <w:keepNext/>
      <w:keepLines/>
      <w:spacing w:before="280" w:after="80"/>
      <w:jc w:val="both"/>
      <w:outlineLvl w:val="2"/>
    </w:pPr>
    <w:rPr>
      <w:rFonts w:ascii="Arial" w:eastAsia="Arial" w:hAnsi="Arial" w:cs="Arial"/>
      <w:b/>
      <w:sz w:val="28"/>
      <w:szCs w:val="28"/>
    </w:rPr>
  </w:style>
  <w:style w:type="paragraph" w:styleId="Heading4">
    <w:name w:val="heading 4"/>
    <w:basedOn w:val="Normal"/>
    <w:next w:val="Normal"/>
    <w:uiPriority w:val="9"/>
    <w:semiHidden/>
    <w:unhideWhenUsed/>
    <w:qFormat/>
    <w:pPr>
      <w:keepNext/>
      <w:keepLines/>
      <w:spacing w:before="240" w:after="40"/>
      <w:jc w:val="both"/>
      <w:outlineLvl w:val="3"/>
    </w:pPr>
    <w:rPr>
      <w:rFonts w:ascii="Arial" w:eastAsia="Arial" w:hAnsi="Arial" w:cs="Arial"/>
      <w:b/>
    </w:rPr>
  </w:style>
  <w:style w:type="paragraph" w:styleId="Heading5">
    <w:name w:val="heading 5"/>
    <w:basedOn w:val="Normal"/>
    <w:next w:val="Normal"/>
    <w:uiPriority w:val="9"/>
    <w:semiHidden/>
    <w:unhideWhenUsed/>
    <w:qFormat/>
    <w:pPr>
      <w:keepNext/>
      <w:keepLines/>
      <w:spacing w:before="220" w:after="40"/>
      <w:jc w:val="both"/>
      <w:outlineLvl w:val="4"/>
    </w:pPr>
    <w:rPr>
      <w:rFonts w:ascii="Arial" w:eastAsia="Arial" w:hAnsi="Arial" w:cs="Arial"/>
      <w:b/>
    </w:rPr>
  </w:style>
  <w:style w:type="paragraph" w:styleId="Heading6">
    <w:name w:val="heading 6"/>
    <w:basedOn w:val="Normal"/>
    <w:next w:val="Normal"/>
    <w:uiPriority w:val="9"/>
    <w:semiHidden/>
    <w:unhideWhenUsed/>
    <w:qFormat/>
    <w:pPr>
      <w:keepNext/>
      <w:keepLines/>
      <w:spacing w:before="200" w:after="40"/>
      <w:jc w:val="both"/>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0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CA0"/>
    <w:rPr>
      <w:rFonts w:ascii="Segoe UI" w:hAnsi="Segoe UI" w:cs="Segoe UI"/>
      <w:sz w:val="18"/>
      <w:szCs w:val="18"/>
    </w:rPr>
  </w:style>
  <w:style w:type="paragraph" w:styleId="NormalWeb">
    <w:name w:val="Normal (Web)"/>
    <w:basedOn w:val="Normal"/>
    <w:uiPriority w:val="99"/>
    <w:unhideWhenUsed/>
    <w:rsid w:val="002631DF"/>
    <w:pPr>
      <w:spacing w:before="100" w:beforeAutospacing="1" w:after="100" w:afterAutospacing="1"/>
    </w:pPr>
  </w:style>
  <w:style w:type="paragraph" w:styleId="ListParagraph">
    <w:name w:val="List Paragraph"/>
    <w:basedOn w:val="Normal"/>
    <w:uiPriority w:val="34"/>
    <w:qFormat/>
    <w:rsid w:val="00263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955696">
      <w:bodyDiv w:val="1"/>
      <w:marLeft w:val="0"/>
      <w:marRight w:val="0"/>
      <w:marTop w:val="0"/>
      <w:marBottom w:val="0"/>
      <w:divBdr>
        <w:top w:val="none" w:sz="0" w:space="0" w:color="auto"/>
        <w:left w:val="none" w:sz="0" w:space="0" w:color="auto"/>
        <w:bottom w:val="none" w:sz="0" w:space="0" w:color="auto"/>
        <w:right w:val="none" w:sz="0" w:space="0" w:color="auto"/>
      </w:divBdr>
    </w:div>
    <w:div w:id="576480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despard@uncg.edu" TargetMode="External"/><Relationship Id="rId13" Type="http://schemas.openxmlformats.org/officeDocument/2006/relationships/hyperlink" Target="http://socialworkpodcast.blogspot.com/2016/01/JulieHanks.html" TargetMode="External"/><Relationship Id="rId18" Type="http://schemas.openxmlformats.org/officeDocument/2006/relationships/hyperlink" Target="https://owl.english.purdue.edu/owl/resource/560/0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cat.edu/student-affairs/student-services/health-services,%20or%20by%20visiting%20the%20Sebastian%20Health%20Center%20at%20112%20N.%20Benbow%20Rd." TargetMode="External"/><Relationship Id="rId7" Type="http://schemas.openxmlformats.org/officeDocument/2006/relationships/image" Target="media/image1.png"/><Relationship Id="rId12" Type="http://schemas.openxmlformats.org/officeDocument/2006/relationships/hyperlink" Target="https://www.naswnyc.org/page/233/Effective-Leadership-in-Social-Service-Organizations.htm" TargetMode="External"/><Relationship Id="rId17" Type="http://schemas.openxmlformats.org/officeDocument/2006/relationships/hyperlink" Target="https://socialwork.columbia.edu/wp-content/uploads/2015/06/2013-10-02-APA-Style-Rules-And-Tips-hand-out_3Oct2013.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quityinthecenter.org/wp-content/uploads/2019/04/Equity-in-Center-Awake-Woke-Work-2019-final-1.pdf" TargetMode="External"/><Relationship Id="rId20" Type="http://schemas.openxmlformats.org/officeDocument/2006/relationships/hyperlink" Target="http://www.ncat.edu/student-affairs/student-services/health-services,%20or%20by%20visiting%20the%20Sebastian%20Health%20Center%20at%20112%20N.%20Benbow%20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ildingmovement.org/artman/uploads/making_social_change_-_bread_for_the_city.pdf" TargetMode="External"/><Relationship Id="rId24" Type="http://schemas.openxmlformats.org/officeDocument/2006/relationships/hyperlink" Target="https://www.ncat.edu/divisions/academic-affairs/bulletin/2018-2019/academic-info-and-regs/academic-dishonesty-policy.html" TargetMode="External"/><Relationship Id="rId5" Type="http://schemas.openxmlformats.org/officeDocument/2006/relationships/footnotes" Target="footnotes.xml"/><Relationship Id="rId15" Type="http://schemas.openxmlformats.org/officeDocument/2006/relationships/hyperlink" Target="https://www.socialworkers.org/assets/secured/documents/practice/privatepracticestartuptips.pdf" TargetMode="External"/><Relationship Id="rId23" Type="http://schemas.openxmlformats.org/officeDocument/2006/relationships/hyperlink" Target="https://shs.uncg.edu/" TargetMode="External"/><Relationship Id="rId28" Type="http://schemas.openxmlformats.org/officeDocument/2006/relationships/theme" Target="theme/theme1.xml"/><Relationship Id="rId10" Type="http://schemas.openxmlformats.org/officeDocument/2006/relationships/hyperlink" Target="http://socialworkpodcast.blogspot.com/2012/12/social-workers-in-court-interview-with.html" TargetMode="External"/><Relationship Id="rId19" Type="http://schemas.openxmlformats.org/officeDocument/2006/relationships/hyperlink" Target="http://www.apastyle.org/" TargetMode="External"/><Relationship Id="rId4" Type="http://schemas.openxmlformats.org/officeDocument/2006/relationships/webSettings" Target="webSettings.xml"/><Relationship Id="rId9" Type="http://schemas.openxmlformats.org/officeDocument/2006/relationships/hyperlink" Target="https://matdespard.wp.uncg.edu/" TargetMode="External"/><Relationship Id="rId14" Type="http://schemas.openxmlformats.org/officeDocument/2006/relationships/hyperlink" Target="http://wkkfcln.org/trust-paul-martinez/" TargetMode="External"/><Relationship Id="rId22" Type="http://schemas.openxmlformats.org/officeDocument/2006/relationships/hyperlink" Target="http://www.ncat.edu/student-affairs/student-services/health-services,%20or%20by%20visiting%20the%20Sebastian%20Health%20Center%20at%20112%20N.%20Benbow%20R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14</Pages>
  <Words>4599</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Despard</dc:creator>
  <cp:lastModifiedBy>Despard, Mat</cp:lastModifiedBy>
  <cp:revision>19</cp:revision>
  <dcterms:created xsi:type="dcterms:W3CDTF">2020-11-13T16:59:00Z</dcterms:created>
  <dcterms:modified xsi:type="dcterms:W3CDTF">2021-01-08T00:59:00Z</dcterms:modified>
</cp:coreProperties>
</file>